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D06F42" w:rsidP="00D06F42">
      <w:pPr>
        <w:spacing w:line="240" w:lineRule="auto"/>
        <w:jc w:val="both"/>
        <w:rPr>
          <w:b/>
        </w:rPr>
      </w:pPr>
      <w:r w:rsidRPr="00D20B71">
        <w:rPr>
          <w:b/>
        </w:rPr>
        <w:t>NOT FOR RELEASE, PUBLICATION</w:t>
      </w:r>
      <w:r>
        <w:rPr>
          <w:b/>
        </w:rPr>
        <w:t>, TRANSMISSION,</w:t>
      </w:r>
      <w:r w:rsidRPr="00D20B71">
        <w:rPr>
          <w:b/>
        </w:rPr>
        <w:t xml:space="preserve"> DISTRIBUTION </w:t>
      </w:r>
      <w:r>
        <w:rPr>
          <w:b/>
        </w:rPr>
        <w:t xml:space="preserve">OR FORWARDING, </w:t>
      </w:r>
      <w:r w:rsidRPr="00D20B71">
        <w:rPr>
          <w:b/>
        </w:rPr>
        <w:t xml:space="preserve">IN WHOLE OR IN PART, DIRECTLY OR INDIRECTLY, IN OR INTO THE UNITED STATES, </w:t>
      </w:r>
      <w:r>
        <w:rPr>
          <w:b/>
        </w:rPr>
        <w:t xml:space="preserve">AUSTRALIA, CANADA, HONG KONG, JAPAN, </w:t>
      </w:r>
      <w:r>
        <w:rPr>
          <w:b/>
        </w:rPr>
        <w:t xml:space="preserve">THE </w:t>
      </w:r>
      <w:r>
        <w:rPr>
          <w:b/>
        </w:rPr>
        <w:t xml:space="preserve">KINGDOM OF SAUDI ARABIA, THE REPUBLIC OF KOREA, SINGAPORE, THE </w:t>
      </w:r>
      <w:r>
        <w:rPr>
          <w:b/>
        </w:rPr>
        <w:t>REPUBLIC OF SOUTH AFRICA, THE UNITED ARAB EMIRATES</w:t>
      </w:r>
      <w:r w:rsidRPr="00D20B71">
        <w:rPr>
          <w:b/>
        </w:rPr>
        <w:t xml:space="preserve"> OR ANY OTHER JURISDICTION </w:t>
      </w:r>
      <w:r>
        <w:rPr>
          <w:b/>
        </w:rPr>
        <w:t>IN WHICH IT WOULD BE UNLAWFUL TO DO SO</w:t>
      </w:r>
      <w:r w:rsidRPr="00D20B71">
        <w:rPr>
          <w:b/>
        </w:rPr>
        <w:t>.</w:t>
      </w:r>
    </w:p>
    <w:p w:rsidR="00D06F42" w:rsidRPr="00D20B71" w:rsidP="00D06F42">
      <w:pPr>
        <w:spacing w:line="240" w:lineRule="auto"/>
        <w:jc w:val="both"/>
        <w:rPr>
          <w:b/>
        </w:rPr>
      </w:pPr>
      <w:r>
        <w:rPr>
          <w:b/>
        </w:rPr>
        <w:t>PLEASE SEE THE IMPORTANT NOTICE AT THE END OF THIS ANNOUNCEMENT.</w:t>
      </w:r>
    </w:p>
    <w:p w:rsidR="00D06F42" w:rsidP="00D06F42">
      <w:pPr>
        <w:spacing w:line="240" w:lineRule="auto"/>
        <w:jc w:val="both"/>
        <w:rPr>
          <w:b/>
        </w:rPr>
      </w:pPr>
      <w:r w:rsidRPr="00D20B71">
        <w:rPr>
          <w:b/>
        </w:rPr>
        <w:t>THIS ANNOUNCEMENT IS AN ADVERTISEMENT AND DOES NOT CONSTITUTE A PROSPECTUS</w:t>
      </w:r>
      <w:r w:rsidRPr="00D20B71">
        <w:rPr>
          <w:b/>
        </w:rPr>
        <w:t xml:space="preserve"> OR PROSPECTUS EQUIVALENT DOCUMENT. NOTHING HEREIN SHALL </w:t>
      </w:r>
      <w:r>
        <w:rPr>
          <w:b/>
        </w:rPr>
        <w:t xml:space="preserve">BE CONSTRUED AS ANY OFFER, INVITATION OR RECOMMENDATION TO PURCHASE, SELL OR SUBSCRIBE FOR ANY SECURITIES IN ANY JURISDICTION AND NEITHER THE ISSUE OF INFORMATION NOR ANYTHING CONTAINED HEREIN SHALL </w:t>
      </w:r>
      <w:r>
        <w:rPr>
          <w:b/>
        </w:rPr>
        <w:t xml:space="preserve">FORM THE BASIS OF OR BE RELIED UPON IN CONNECTION WITH, OR ACT AS AN INDUCEMENT TO ENTER INTO, ANY INVESTMENT ACTIVITY. </w:t>
      </w:r>
    </w:p>
    <w:p w:rsidR="00374B9F" w:rsidRPr="00D06F42" w:rsidP="00D06F42">
      <w:pPr>
        <w:spacing w:line="240" w:lineRule="auto"/>
        <w:jc w:val="both"/>
        <w:rPr>
          <w:b/>
        </w:rPr>
      </w:pPr>
      <w:r w:rsidRPr="00D20B71">
        <w:rPr>
          <w:b/>
        </w:rPr>
        <w:t xml:space="preserve">ANY DECISION TO PURCHASE, SUBSCRIBE FOR, OTHERWISE ACQUIRE, SELL OR OTHERWISE DISPOSE OF </w:t>
      </w:r>
      <w:r>
        <w:rPr>
          <w:b/>
        </w:rPr>
        <w:t>SECURITIES MENTIONED HEREIN</w:t>
      </w:r>
      <w:r w:rsidRPr="00D20B71">
        <w:rPr>
          <w:b/>
        </w:rPr>
        <w:t xml:space="preserve"> MUST BE MADE ONLY </w:t>
      </w:r>
      <w:r w:rsidRPr="00D20B71">
        <w:rPr>
          <w:b/>
        </w:rPr>
        <w:t xml:space="preserve">ON THE BASIS OF THE INFORMATION CONTAINED IN AND INCORPORATED BY REFERENCE INTO THE PROSPECTUS. </w:t>
      </w:r>
    </w:p>
    <w:p w:rsidR="00374B9F" w:rsidRPr="001C354D" w:rsidP="00374B9F">
      <w:pPr>
        <w:spacing w:after="0"/>
        <w:jc w:val="center"/>
        <w:rPr>
          <w:rFonts w:cs="Arial"/>
          <w:b/>
          <w:color w:val="000000" w:themeColor="text1"/>
          <w:szCs w:val="20"/>
        </w:rPr>
      </w:pPr>
      <w:r>
        <w:rPr>
          <w:rFonts w:cs="Arial"/>
          <w:b/>
          <w:color w:val="000000" w:themeColor="text1"/>
          <w:szCs w:val="20"/>
        </w:rPr>
        <w:t>THE RESTAURANT GROUP</w:t>
      </w:r>
      <w:r w:rsidRPr="001C354D">
        <w:rPr>
          <w:rFonts w:cs="Arial"/>
          <w:b/>
          <w:color w:val="000000" w:themeColor="text1"/>
          <w:szCs w:val="20"/>
        </w:rPr>
        <w:t xml:space="preserve"> PLC</w:t>
      </w:r>
    </w:p>
    <w:p w:rsidR="00374B9F" w:rsidRPr="001C354D" w:rsidP="00374B9F">
      <w:pPr>
        <w:spacing w:after="0"/>
        <w:jc w:val="center"/>
        <w:rPr>
          <w:rFonts w:cs="Arial"/>
          <w:b/>
          <w:color w:val="000000" w:themeColor="text1"/>
          <w:szCs w:val="20"/>
        </w:rPr>
      </w:pPr>
    </w:p>
    <w:p w:rsidR="00374B9F" w:rsidRPr="001C354D" w:rsidP="00374B9F">
      <w:pPr>
        <w:spacing w:after="0"/>
        <w:jc w:val="center"/>
        <w:rPr>
          <w:rFonts w:cs="Arial"/>
          <w:b/>
          <w:color w:val="000000" w:themeColor="text1"/>
          <w:szCs w:val="20"/>
        </w:rPr>
      </w:pPr>
      <w:r>
        <w:rPr>
          <w:rFonts w:cs="Arial"/>
          <w:b/>
          <w:color w:val="000000" w:themeColor="text1"/>
          <w:szCs w:val="20"/>
        </w:rPr>
        <w:t>PUBLICATION OF PROSPECTUS</w:t>
      </w:r>
    </w:p>
    <w:p w:rsidR="00374B9F" w:rsidRPr="001C354D" w:rsidP="00374B9F">
      <w:pPr>
        <w:spacing w:after="0"/>
        <w:jc w:val="center"/>
        <w:rPr>
          <w:rFonts w:cs="Arial"/>
          <w:b/>
          <w:color w:val="000000" w:themeColor="text1"/>
          <w:szCs w:val="20"/>
        </w:rPr>
      </w:pPr>
    </w:p>
    <w:p w:rsidR="000259C1" w:rsidRPr="00D06F42" w:rsidP="00D06F42">
      <w:pPr>
        <w:jc w:val="right"/>
        <w:rPr>
          <w:rFonts w:cs="Arial"/>
          <w:color w:val="000000" w:themeColor="text1"/>
          <w:szCs w:val="20"/>
        </w:rPr>
      </w:pPr>
      <w:r>
        <w:rPr>
          <w:rFonts w:cs="Arial"/>
          <w:color w:val="000000" w:themeColor="text1"/>
          <w:szCs w:val="20"/>
        </w:rPr>
        <w:t>10 March</w:t>
      </w:r>
      <w:r>
        <w:rPr>
          <w:rFonts w:cs="Arial"/>
          <w:color w:val="000000" w:themeColor="text1"/>
          <w:szCs w:val="20"/>
        </w:rPr>
        <w:t xml:space="preserve"> 2021</w:t>
      </w:r>
    </w:p>
    <w:p w:rsidR="00374B9F" w:rsidP="00374B9F">
      <w:pPr>
        <w:jc w:val="both"/>
        <w:rPr>
          <w:rFonts w:cs="Arial"/>
          <w:color w:val="000000" w:themeColor="text1"/>
          <w:szCs w:val="20"/>
        </w:rPr>
      </w:pPr>
      <w:r>
        <w:t>Further to the announcement by The Restaurant Group plc (the “</w:t>
      </w:r>
      <w:r>
        <w:rPr>
          <w:b/>
        </w:rPr>
        <w:t>Company</w:t>
      </w:r>
      <w:r>
        <w:t>”) earlier today relati</w:t>
      </w:r>
      <w:r>
        <w:t>ng to its proposed capital raising by way of firm placing and placing and open offer</w:t>
      </w:r>
      <w:r>
        <w:rPr>
          <w:rFonts w:cs="Arial"/>
          <w:color w:val="000000" w:themeColor="text1"/>
          <w:szCs w:val="20"/>
        </w:rPr>
        <w:t xml:space="preserve"> (the “</w:t>
      </w:r>
      <w:r>
        <w:rPr>
          <w:rFonts w:cs="Arial"/>
          <w:b/>
          <w:color w:val="000000" w:themeColor="text1"/>
          <w:szCs w:val="20"/>
        </w:rPr>
        <w:t>Capital Raising</w:t>
      </w:r>
      <w:r>
        <w:rPr>
          <w:rFonts w:cs="Arial"/>
          <w:color w:val="000000" w:themeColor="text1"/>
          <w:szCs w:val="20"/>
        </w:rPr>
        <w:t>”), the Financial Conduct Authority has approved the combined pr</w:t>
      </w:r>
      <w:r>
        <w:rPr>
          <w:rFonts w:cs="Arial"/>
          <w:color w:val="000000" w:themeColor="text1"/>
          <w:szCs w:val="20"/>
        </w:rPr>
        <w:t xml:space="preserve">ospectus and circular dated 10 March </w:t>
      </w:r>
      <w:r>
        <w:rPr>
          <w:rFonts w:cs="Arial"/>
          <w:color w:val="000000" w:themeColor="text1"/>
          <w:szCs w:val="20"/>
        </w:rPr>
        <w:t>2021 (the “</w:t>
      </w:r>
      <w:r>
        <w:rPr>
          <w:rFonts w:cs="Arial"/>
          <w:b/>
          <w:color w:val="000000" w:themeColor="text1"/>
          <w:szCs w:val="20"/>
        </w:rPr>
        <w:t>Prospectus</w:t>
      </w:r>
      <w:r>
        <w:rPr>
          <w:rFonts w:cs="Arial"/>
          <w:color w:val="000000" w:themeColor="text1"/>
          <w:szCs w:val="20"/>
        </w:rPr>
        <w:t>”) in connection with the Ca</w:t>
      </w:r>
      <w:r>
        <w:rPr>
          <w:rFonts w:cs="Arial"/>
          <w:color w:val="000000" w:themeColor="text1"/>
          <w:szCs w:val="20"/>
        </w:rPr>
        <w:t xml:space="preserve">pital Raising and the Prospectus has been published by the Company. </w:t>
      </w:r>
    </w:p>
    <w:p w:rsidR="00374B9F" w:rsidRPr="00EB39FF" w:rsidP="00374B9F">
      <w:pPr>
        <w:jc w:val="both"/>
        <w:rPr>
          <w:rFonts w:cs="Arial"/>
          <w:szCs w:val="20"/>
        </w:rPr>
      </w:pPr>
      <w:r>
        <w:rPr>
          <w:rFonts w:cs="Arial"/>
          <w:color w:val="000000" w:themeColor="text1"/>
          <w:szCs w:val="20"/>
        </w:rPr>
        <w:t xml:space="preserve">The Prospectus contains further details of the Capital Raising and will be posted to shareholders of the </w:t>
      </w:r>
      <w:r w:rsidRPr="00EB39FF">
        <w:rPr>
          <w:rFonts w:cs="Arial"/>
          <w:szCs w:val="20"/>
        </w:rPr>
        <w:t>Company that have elected to receive hard copies of such shareholder documentation</w:t>
      </w:r>
      <w:r w:rsidRPr="00EB39FF">
        <w:rPr>
          <w:rFonts w:cs="Arial"/>
          <w:szCs w:val="20"/>
        </w:rPr>
        <w:t xml:space="preserve"> as soon as practicable. The Prospectus is also ava</w:t>
      </w:r>
      <w:r>
        <w:rPr>
          <w:rFonts w:cs="Arial"/>
          <w:szCs w:val="20"/>
        </w:rPr>
        <w:t>ilable on the Company’s website at</w:t>
      </w:r>
      <w:r w:rsidRPr="00EB39FF">
        <w:rPr>
          <w:rFonts w:cs="Arial"/>
          <w:szCs w:val="20"/>
        </w:rPr>
        <w:t xml:space="preserve"> </w:t>
      </w:r>
      <w:r w:rsidRPr="00C7087D">
        <w:rPr>
          <w:rStyle w:val="Hyperlink"/>
          <w:rFonts w:cs="Arial"/>
          <w:bCs/>
          <w:color w:val="auto"/>
          <w:szCs w:val="20"/>
          <w:u w:val="none"/>
          <w:lang w:val="en-US"/>
        </w:rPr>
        <w:t>www.trgplc.com/investors/capitalraising/</w:t>
      </w:r>
      <w:r w:rsidRPr="00EB39FF">
        <w:rPr>
          <w:rFonts w:cs="Arial"/>
          <w:szCs w:val="20"/>
        </w:rPr>
        <w:t>. The Prospectus contains notice</w:t>
      </w:r>
      <w:r w:rsidRPr="00EB39FF">
        <w:rPr>
          <w:rFonts w:cs="Arial"/>
          <w:szCs w:val="20"/>
        </w:rPr>
        <w:t xml:space="preserve"> </w:t>
      </w:r>
      <w:r w:rsidRPr="00EB39FF">
        <w:rPr>
          <w:rFonts w:cs="Arial"/>
          <w:szCs w:val="20"/>
        </w:rPr>
        <w:t>of a general meeting to approve the Capital R</w:t>
      </w:r>
      <w:r w:rsidRPr="00EB39FF">
        <w:rPr>
          <w:rFonts w:cs="Arial"/>
          <w:szCs w:val="20"/>
        </w:rPr>
        <w:t xml:space="preserve">aising, expected to be held at </w:t>
      </w:r>
      <w:r w:rsidRPr="00EB39FF">
        <w:rPr>
          <w:rFonts w:cs="Arial"/>
          <w:szCs w:val="20"/>
        </w:rPr>
        <w:t>11.00</w:t>
      </w:r>
      <w:r w:rsidRPr="00EB39FF">
        <w:rPr>
          <w:rFonts w:cs="Arial"/>
          <w:szCs w:val="20"/>
        </w:rPr>
        <w:t xml:space="preserve"> a.m.</w:t>
      </w:r>
      <w:r w:rsidRPr="00EB39FF">
        <w:rPr>
          <w:rFonts w:cs="Arial"/>
          <w:szCs w:val="20"/>
        </w:rPr>
        <w:t xml:space="preserve"> on </w:t>
      </w:r>
      <w:r w:rsidRPr="00EB39FF">
        <w:rPr>
          <w:rFonts w:cs="Arial"/>
          <w:szCs w:val="20"/>
        </w:rPr>
        <w:t>29 Marc</w:t>
      </w:r>
      <w:r w:rsidRPr="00EB39FF">
        <w:rPr>
          <w:rFonts w:cs="Arial"/>
          <w:szCs w:val="20"/>
        </w:rPr>
        <w:t>h</w:t>
      </w:r>
      <w:r w:rsidRPr="00EB39FF">
        <w:rPr>
          <w:rFonts w:cs="Arial"/>
          <w:szCs w:val="20"/>
        </w:rPr>
        <w:t xml:space="preserve"> 2021.</w:t>
      </w:r>
    </w:p>
    <w:p w:rsidR="00912492" w:rsidRPr="00EB39FF" w:rsidP="00374B9F">
      <w:pPr>
        <w:jc w:val="both"/>
        <w:rPr>
          <w:rFonts w:cs="Arial"/>
          <w:szCs w:val="20"/>
        </w:rPr>
      </w:pPr>
      <w:r w:rsidRPr="00EB39FF">
        <w:rPr>
          <w:rFonts w:cs="Arial"/>
          <w:szCs w:val="20"/>
        </w:rPr>
        <w:t>Copies of the Prospectus and the Proxy Form for the general meeting will be submitted to the National Storage Mechanism and will shortly be</w:t>
      </w:r>
      <w:r w:rsidRPr="00EB39FF">
        <w:rPr>
          <w:rFonts w:cs="Arial"/>
          <w:szCs w:val="20"/>
        </w:rPr>
        <w:t xml:space="preserve"> available for inspection at </w:t>
      </w:r>
      <w:r w:rsidRPr="00C7087D">
        <w:rPr>
          <w:rStyle w:val="Hyperlink"/>
          <w:rFonts w:cs="Arial"/>
          <w:bCs/>
          <w:color w:val="auto"/>
          <w:szCs w:val="20"/>
          <w:u w:val="none"/>
          <w:lang w:val="en-US"/>
        </w:rPr>
        <w:t>www.trgplc.com/investors/capitalraising/</w:t>
      </w:r>
      <w:r w:rsidRPr="00EB39FF">
        <w:rPr>
          <w:rFonts w:cs="Arial"/>
          <w:szCs w:val="20"/>
        </w:rPr>
        <w:t>.</w:t>
      </w:r>
    </w:p>
    <w:p w:rsidR="00374B9F" w:rsidRPr="00F1693D" w:rsidP="00613A4A">
      <w:pPr>
        <w:keepNext/>
        <w:jc w:val="both"/>
        <w:rPr>
          <w:rFonts w:cs="Arial"/>
          <w:b/>
          <w:color w:val="000000" w:themeColor="text1"/>
          <w:szCs w:val="20"/>
        </w:rPr>
      </w:pPr>
      <w:r w:rsidRPr="00F1693D">
        <w:rPr>
          <w:rFonts w:cs="Arial"/>
          <w:b/>
          <w:color w:val="000000" w:themeColor="text1"/>
          <w:szCs w:val="20"/>
        </w:rPr>
        <w:t>For further information, please contac</w:t>
      </w:r>
      <w:r w:rsidRPr="00F1693D">
        <w:rPr>
          <w:rFonts w:cs="Arial"/>
          <w:b/>
          <w:color w:val="000000" w:themeColor="text1"/>
          <w:szCs w:val="20"/>
        </w:rPr>
        <w:t>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gridCol w:w="2267"/>
      </w:tblGrid>
      <w:tr w:rsidTr="003F178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37" w:type="dxa"/>
          </w:tcPr>
          <w:p w:rsidR="00912492" w:rsidRPr="00D20B71" w:rsidP="003E6002">
            <w:pPr>
              <w:spacing w:after="60" w:line="240" w:lineRule="auto"/>
              <w:rPr>
                <w:b/>
              </w:rPr>
            </w:pPr>
            <w:r>
              <w:rPr>
                <w:b/>
              </w:rPr>
              <w:t>Restaurant Group</w:t>
            </w:r>
          </w:p>
        </w:tc>
        <w:tc>
          <w:tcPr>
            <w:tcW w:w="2267" w:type="dxa"/>
          </w:tcPr>
          <w:p w:rsidR="00912492" w:rsidRPr="00D20B71" w:rsidP="003E6002">
            <w:pPr>
              <w:spacing w:after="60" w:line="240" w:lineRule="auto"/>
            </w:pPr>
            <w:r w:rsidRPr="00D20B71">
              <w:t>+44 (0)</w:t>
            </w:r>
            <w:r>
              <w:t xml:space="preserve"> </w:t>
            </w:r>
            <w:r w:rsidRPr="00D20B71">
              <w:t>20</w:t>
            </w:r>
            <w:r w:rsidRPr="00B9093C">
              <w:t>3</w:t>
            </w:r>
            <w:r>
              <w:t xml:space="preserve"> </w:t>
            </w:r>
            <w:r w:rsidRPr="00B9093C">
              <w:t>117 5001</w:t>
            </w:r>
          </w:p>
        </w:tc>
      </w:tr>
      <w:tr w:rsidTr="003F178C">
        <w:tblPrEx>
          <w:tblW w:w="0" w:type="auto"/>
          <w:tblLook w:val="04A0"/>
        </w:tblPrEx>
        <w:tc>
          <w:tcPr>
            <w:tcW w:w="6237" w:type="dxa"/>
          </w:tcPr>
          <w:p w:rsidR="00912492" w:rsidRPr="00D20B71" w:rsidP="003E6002">
            <w:pPr>
              <w:spacing w:after="60" w:line="240" w:lineRule="auto"/>
            </w:pPr>
            <w:r w:rsidRPr="00B9093C">
              <w:t>Andy Hornby, Chief Executive Officer</w:t>
            </w:r>
          </w:p>
        </w:tc>
        <w:tc>
          <w:tcPr>
            <w:tcW w:w="2267" w:type="dxa"/>
          </w:tcPr>
          <w:p w:rsidR="00912492" w:rsidRPr="00D20B71" w:rsidP="003E6002">
            <w:pPr>
              <w:spacing w:after="60" w:line="240" w:lineRule="auto"/>
            </w:pPr>
          </w:p>
        </w:tc>
      </w:tr>
      <w:tr w:rsidTr="003F178C">
        <w:tblPrEx>
          <w:tblW w:w="0" w:type="auto"/>
          <w:tblLook w:val="04A0"/>
        </w:tblPrEx>
        <w:tc>
          <w:tcPr>
            <w:tcW w:w="6237" w:type="dxa"/>
          </w:tcPr>
          <w:p w:rsidR="00912492" w:rsidRPr="00D20B71" w:rsidP="003E6002">
            <w:pPr>
              <w:spacing w:after="60" w:line="240" w:lineRule="auto"/>
            </w:pPr>
            <w:r w:rsidRPr="00B9093C">
              <w:t>Kirk Davis, Chief Financial Officer</w:t>
            </w:r>
          </w:p>
        </w:tc>
        <w:tc>
          <w:tcPr>
            <w:tcW w:w="2267" w:type="dxa"/>
          </w:tcPr>
          <w:p w:rsidR="00912492" w:rsidRPr="00D20B71" w:rsidP="003E6002">
            <w:pPr>
              <w:spacing w:after="60" w:line="240" w:lineRule="auto"/>
            </w:pPr>
          </w:p>
        </w:tc>
      </w:tr>
      <w:tr w:rsidTr="003F178C">
        <w:tblPrEx>
          <w:tblW w:w="0" w:type="auto"/>
          <w:tblLook w:val="04A0"/>
        </w:tblPrEx>
        <w:tc>
          <w:tcPr>
            <w:tcW w:w="6237" w:type="dxa"/>
          </w:tcPr>
          <w:p w:rsidR="00C7087D" w:rsidRPr="00B9093C" w:rsidP="003E6002">
            <w:pPr>
              <w:spacing w:after="60" w:line="240" w:lineRule="auto"/>
            </w:pPr>
            <w:r>
              <w:t>Umer Usman, Investor Relations</w:t>
            </w:r>
          </w:p>
        </w:tc>
        <w:tc>
          <w:tcPr>
            <w:tcW w:w="2267" w:type="dxa"/>
          </w:tcPr>
          <w:p w:rsidR="00C7087D" w:rsidRPr="00D20B71" w:rsidP="003E6002">
            <w:pPr>
              <w:spacing w:after="60" w:line="240" w:lineRule="auto"/>
            </w:pPr>
          </w:p>
        </w:tc>
      </w:tr>
      <w:tr w:rsidTr="003F178C">
        <w:tblPrEx>
          <w:tblW w:w="0" w:type="auto"/>
          <w:tblLook w:val="04A0"/>
        </w:tblPrEx>
        <w:tc>
          <w:tcPr>
            <w:tcW w:w="6237" w:type="dxa"/>
          </w:tcPr>
          <w:p w:rsidR="00912492" w:rsidRPr="00D20B71" w:rsidP="003E6002">
            <w:pPr>
              <w:spacing w:after="60" w:line="240" w:lineRule="auto"/>
            </w:pPr>
          </w:p>
        </w:tc>
        <w:tc>
          <w:tcPr>
            <w:tcW w:w="2267" w:type="dxa"/>
          </w:tcPr>
          <w:p w:rsidR="00912492" w:rsidRPr="00D20B71" w:rsidP="003E6002">
            <w:pPr>
              <w:spacing w:after="60" w:line="240" w:lineRule="auto"/>
            </w:pPr>
          </w:p>
        </w:tc>
      </w:tr>
      <w:tr w:rsidTr="003F178C">
        <w:tblPrEx>
          <w:tblW w:w="0" w:type="auto"/>
          <w:tblLook w:val="04A0"/>
        </w:tblPrEx>
        <w:tc>
          <w:tcPr>
            <w:tcW w:w="6237" w:type="dxa"/>
          </w:tcPr>
          <w:p w:rsidR="00912492" w:rsidRPr="00D20B71" w:rsidP="003E6002">
            <w:pPr>
              <w:spacing w:after="60" w:line="240" w:lineRule="auto"/>
              <w:rPr>
                <w:b/>
              </w:rPr>
            </w:pPr>
            <w:r w:rsidRPr="00B9093C">
              <w:rPr>
                <w:b/>
              </w:rPr>
              <w:t>MHP Communications (Financial PR adviser)</w:t>
            </w:r>
          </w:p>
        </w:tc>
        <w:tc>
          <w:tcPr>
            <w:tcW w:w="2267" w:type="dxa"/>
          </w:tcPr>
          <w:p w:rsidR="00912492" w:rsidRPr="00D20B71" w:rsidP="003E6002">
            <w:pPr>
              <w:spacing w:after="60" w:line="240" w:lineRule="auto"/>
            </w:pPr>
            <w:r w:rsidRPr="00D20B71">
              <w:t>+</w:t>
            </w:r>
            <w:r>
              <w:t>44 (</w:t>
            </w:r>
            <w:r w:rsidRPr="00B9093C">
              <w:t>0</w:t>
            </w:r>
            <w:r>
              <w:t xml:space="preserve">) </w:t>
            </w:r>
            <w:r w:rsidRPr="00B9093C">
              <w:t>788</w:t>
            </w:r>
            <w:r>
              <w:t xml:space="preserve"> </w:t>
            </w:r>
            <w:r w:rsidRPr="00B9093C">
              <w:t>522</w:t>
            </w:r>
            <w:r>
              <w:t xml:space="preserve"> </w:t>
            </w:r>
            <w:r w:rsidRPr="00B9093C">
              <w:t>4</w:t>
            </w:r>
            <w:r>
              <w:t xml:space="preserve">532 </w:t>
            </w:r>
          </w:p>
        </w:tc>
      </w:tr>
      <w:tr w:rsidTr="003F178C">
        <w:tblPrEx>
          <w:tblW w:w="0" w:type="auto"/>
          <w:tblLook w:val="04A0"/>
        </w:tblPrEx>
        <w:tc>
          <w:tcPr>
            <w:tcW w:w="6237" w:type="dxa"/>
          </w:tcPr>
          <w:p w:rsidR="00912492" w:rsidRPr="00D20B71" w:rsidP="003E6002">
            <w:pPr>
              <w:spacing w:after="60" w:line="240" w:lineRule="auto"/>
            </w:pPr>
            <w:r>
              <w:t>Oli</w:t>
            </w:r>
            <w:bookmarkStart w:id="0" w:name="_GoBack"/>
            <w:bookmarkEnd w:id="0"/>
            <w:r>
              <w:t>ver Hughes</w:t>
            </w:r>
          </w:p>
        </w:tc>
        <w:tc>
          <w:tcPr>
            <w:tcW w:w="2267" w:type="dxa"/>
          </w:tcPr>
          <w:p w:rsidR="00912492" w:rsidRPr="00D20B71" w:rsidP="003E6002">
            <w:pPr>
              <w:spacing w:after="60" w:line="240" w:lineRule="auto"/>
            </w:pPr>
          </w:p>
        </w:tc>
      </w:tr>
      <w:tr w:rsidTr="003F178C">
        <w:tblPrEx>
          <w:tblW w:w="0" w:type="auto"/>
          <w:tblLook w:val="04A0"/>
        </w:tblPrEx>
        <w:tc>
          <w:tcPr>
            <w:tcW w:w="6237" w:type="dxa"/>
          </w:tcPr>
          <w:p w:rsidR="00912492" w:rsidRPr="00D20B71" w:rsidP="003E6002">
            <w:pPr>
              <w:spacing w:after="60" w:line="240" w:lineRule="auto"/>
            </w:pPr>
            <w:r w:rsidRPr="00B9093C">
              <w:t>Simon Hockridge</w:t>
            </w:r>
          </w:p>
        </w:tc>
        <w:tc>
          <w:tcPr>
            <w:tcW w:w="2267" w:type="dxa"/>
          </w:tcPr>
          <w:p w:rsidR="00912492" w:rsidRPr="00D20B71" w:rsidP="003E6002">
            <w:pPr>
              <w:spacing w:after="60" w:line="240" w:lineRule="auto"/>
            </w:pPr>
          </w:p>
        </w:tc>
      </w:tr>
      <w:tr w:rsidTr="003F178C">
        <w:tblPrEx>
          <w:tblW w:w="0" w:type="auto"/>
          <w:tblLook w:val="04A0"/>
        </w:tblPrEx>
        <w:tc>
          <w:tcPr>
            <w:tcW w:w="6237" w:type="dxa"/>
          </w:tcPr>
          <w:p w:rsidR="00912492" w:rsidRPr="00D20B71" w:rsidP="003E6002">
            <w:pPr>
              <w:spacing w:after="60" w:line="240" w:lineRule="auto"/>
            </w:pPr>
          </w:p>
        </w:tc>
        <w:tc>
          <w:tcPr>
            <w:tcW w:w="2267" w:type="dxa"/>
          </w:tcPr>
          <w:p w:rsidR="00912492" w:rsidRPr="00D20B71" w:rsidP="003E6002">
            <w:pPr>
              <w:spacing w:after="60" w:line="240" w:lineRule="auto"/>
            </w:pPr>
          </w:p>
        </w:tc>
      </w:tr>
      <w:tr w:rsidTr="003F178C">
        <w:tblPrEx>
          <w:tblW w:w="0" w:type="auto"/>
          <w:tblLook w:val="04A0"/>
        </w:tblPrEx>
        <w:tc>
          <w:tcPr>
            <w:tcW w:w="6237" w:type="dxa"/>
          </w:tcPr>
          <w:p w:rsidR="00912492" w:rsidRPr="00D20B71" w:rsidP="003E6002">
            <w:pPr>
              <w:spacing w:after="60" w:line="240" w:lineRule="auto"/>
              <w:rPr>
                <w:b/>
              </w:rPr>
            </w:pPr>
            <w:r w:rsidRPr="00D20B71">
              <w:rPr>
                <w:b/>
              </w:rPr>
              <w:t>J.P. Morgan Cazenove (</w:t>
            </w:r>
            <w:r>
              <w:rPr>
                <w:b/>
              </w:rPr>
              <w:t xml:space="preserve">Joint Sponsor, </w:t>
            </w:r>
            <w:r w:rsidRPr="00D20B71">
              <w:rPr>
                <w:b/>
              </w:rPr>
              <w:t xml:space="preserve">Corporate Broker and Joint Bookrunner) </w:t>
            </w:r>
          </w:p>
        </w:tc>
        <w:tc>
          <w:tcPr>
            <w:tcW w:w="2267" w:type="dxa"/>
          </w:tcPr>
          <w:p w:rsidR="00912492" w:rsidRPr="00D20B71" w:rsidP="003E6002">
            <w:pPr>
              <w:spacing w:after="60" w:line="240" w:lineRule="auto"/>
            </w:pPr>
            <w:r>
              <w:t>+44 (0) 20</w:t>
            </w:r>
            <w:r w:rsidRPr="00E36F69">
              <w:t>7</w:t>
            </w:r>
            <w:r>
              <w:t xml:space="preserve"> 134 3339</w:t>
            </w:r>
          </w:p>
        </w:tc>
      </w:tr>
      <w:tr w:rsidTr="003F178C">
        <w:tblPrEx>
          <w:tblW w:w="0" w:type="auto"/>
          <w:tblLook w:val="04A0"/>
        </w:tblPrEx>
        <w:tc>
          <w:tcPr>
            <w:tcW w:w="6237" w:type="dxa"/>
          </w:tcPr>
          <w:p w:rsidR="00912492" w:rsidRPr="00D20B71" w:rsidP="003E6002">
            <w:pPr>
              <w:spacing w:after="60" w:line="240" w:lineRule="auto"/>
            </w:pPr>
            <w:r w:rsidRPr="00D20B71">
              <w:t>Nicholas Hall</w:t>
            </w:r>
          </w:p>
        </w:tc>
        <w:tc>
          <w:tcPr>
            <w:tcW w:w="2267" w:type="dxa"/>
          </w:tcPr>
          <w:p w:rsidR="00912492" w:rsidRPr="00D20B71" w:rsidP="003E6002">
            <w:pPr>
              <w:spacing w:after="60" w:line="240" w:lineRule="auto"/>
            </w:pPr>
          </w:p>
        </w:tc>
      </w:tr>
      <w:tr w:rsidTr="003F178C">
        <w:tblPrEx>
          <w:tblW w:w="0" w:type="auto"/>
          <w:tblLook w:val="04A0"/>
        </w:tblPrEx>
        <w:tc>
          <w:tcPr>
            <w:tcW w:w="6237" w:type="dxa"/>
          </w:tcPr>
          <w:p w:rsidR="00912492" w:rsidRPr="00D20B71" w:rsidP="003E6002">
            <w:pPr>
              <w:spacing w:after="60" w:line="240" w:lineRule="auto"/>
            </w:pPr>
            <w:r>
              <w:t>Virginia Khoo</w:t>
            </w:r>
          </w:p>
        </w:tc>
        <w:tc>
          <w:tcPr>
            <w:tcW w:w="2267" w:type="dxa"/>
          </w:tcPr>
          <w:p w:rsidR="00912492" w:rsidRPr="00D20B71" w:rsidP="003E6002">
            <w:pPr>
              <w:spacing w:after="60" w:line="240" w:lineRule="auto"/>
            </w:pPr>
          </w:p>
        </w:tc>
      </w:tr>
      <w:tr w:rsidTr="003F178C">
        <w:tblPrEx>
          <w:tblW w:w="0" w:type="auto"/>
          <w:tblLook w:val="04A0"/>
        </w:tblPrEx>
        <w:tc>
          <w:tcPr>
            <w:tcW w:w="6237" w:type="dxa"/>
          </w:tcPr>
          <w:p w:rsidR="00A760CF" w:rsidRPr="00E36F69" w:rsidP="003E6002">
            <w:pPr>
              <w:spacing w:after="60" w:line="240" w:lineRule="auto"/>
            </w:pPr>
            <w:r>
              <w:t>Marta Arteaga</w:t>
            </w:r>
          </w:p>
        </w:tc>
        <w:tc>
          <w:tcPr>
            <w:tcW w:w="2267" w:type="dxa"/>
          </w:tcPr>
          <w:p w:rsidR="00A760CF" w:rsidRPr="00D20B71" w:rsidP="003E6002">
            <w:pPr>
              <w:spacing w:after="60" w:line="240" w:lineRule="auto"/>
            </w:pPr>
          </w:p>
        </w:tc>
      </w:tr>
      <w:tr w:rsidTr="003F178C">
        <w:tblPrEx>
          <w:tblW w:w="0" w:type="auto"/>
          <w:tblLook w:val="04A0"/>
        </w:tblPrEx>
        <w:tc>
          <w:tcPr>
            <w:tcW w:w="6237" w:type="dxa"/>
          </w:tcPr>
          <w:p w:rsidR="00912492" w:rsidRPr="00D20B71" w:rsidP="003E6002">
            <w:pPr>
              <w:spacing w:after="60" w:line="240" w:lineRule="auto"/>
            </w:pPr>
          </w:p>
        </w:tc>
        <w:tc>
          <w:tcPr>
            <w:tcW w:w="2267" w:type="dxa"/>
          </w:tcPr>
          <w:p w:rsidR="00912492" w:rsidRPr="00D20B71" w:rsidP="003E6002">
            <w:pPr>
              <w:spacing w:after="60" w:line="240" w:lineRule="auto"/>
            </w:pPr>
          </w:p>
        </w:tc>
      </w:tr>
      <w:tr w:rsidTr="003F178C">
        <w:tblPrEx>
          <w:tblW w:w="0" w:type="auto"/>
          <w:tblLook w:val="04A0"/>
        </w:tblPrEx>
        <w:tc>
          <w:tcPr>
            <w:tcW w:w="6237" w:type="dxa"/>
          </w:tcPr>
          <w:p w:rsidR="00912492" w:rsidRPr="00D20B71" w:rsidP="003E6002">
            <w:pPr>
              <w:spacing w:after="60" w:line="240" w:lineRule="auto"/>
              <w:rPr>
                <w:b/>
              </w:rPr>
            </w:pPr>
            <w:r w:rsidRPr="00D20B71">
              <w:rPr>
                <w:b/>
              </w:rPr>
              <w:t>Investec Bank (</w:t>
            </w:r>
            <w:r>
              <w:rPr>
                <w:b/>
              </w:rPr>
              <w:t xml:space="preserve">Joint Sponsor, </w:t>
            </w:r>
            <w:r w:rsidRPr="00D20B71">
              <w:rPr>
                <w:b/>
              </w:rPr>
              <w:t xml:space="preserve">Corporate Broker and Joint Bookrunner) </w:t>
            </w:r>
          </w:p>
        </w:tc>
        <w:tc>
          <w:tcPr>
            <w:tcW w:w="2267" w:type="dxa"/>
          </w:tcPr>
          <w:p w:rsidR="00912492" w:rsidRPr="00D20B71" w:rsidP="003E6002">
            <w:pPr>
              <w:spacing w:after="60" w:line="240" w:lineRule="auto"/>
            </w:pPr>
            <w:r w:rsidRPr="00D20B71">
              <w:t>+44 (0) 2</w:t>
            </w:r>
            <w:r>
              <w:t>0</w:t>
            </w:r>
            <w:r w:rsidRPr="00D20B71">
              <w:t>7</w:t>
            </w:r>
            <w:r>
              <w:t xml:space="preserve"> </w:t>
            </w:r>
            <w:r w:rsidRPr="00D20B71">
              <w:t xml:space="preserve">597 </w:t>
            </w:r>
            <w:r>
              <w:t>5970</w:t>
            </w:r>
          </w:p>
        </w:tc>
      </w:tr>
      <w:tr w:rsidTr="003F178C">
        <w:tblPrEx>
          <w:tblW w:w="0" w:type="auto"/>
          <w:tblLook w:val="04A0"/>
        </w:tblPrEx>
        <w:tc>
          <w:tcPr>
            <w:tcW w:w="6237" w:type="dxa"/>
          </w:tcPr>
          <w:p w:rsidR="00912492" w:rsidRPr="00D20B71" w:rsidP="003E6002">
            <w:pPr>
              <w:spacing w:after="60" w:line="240" w:lineRule="auto"/>
            </w:pPr>
            <w:r w:rsidRPr="00D20B71">
              <w:t>Chris</w:t>
            </w:r>
            <w:r>
              <w:t>topher</w:t>
            </w:r>
            <w:r w:rsidRPr="00D20B71">
              <w:t xml:space="preserve"> </w:t>
            </w:r>
            <w:r>
              <w:t>Baird</w:t>
            </w:r>
          </w:p>
        </w:tc>
        <w:tc>
          <w:tcPr>
            <w:tcW w:w="2267" w:type="dxa"/>
          </w:tcPr>
          <w:p w:rsidR="00912492" w:rsidRPr="00D20B71" w:rsidP="003E6002">
            <w:pPr>
              <w:spacing w:after="60" w:line="240" w:lineRule="auto"/>
            </w:pPr>
          </w:p>
        </w:tc>
      </w:tr>
      <w:tr w:rsidTr="003F178C">
        <w:tblPrEx>
          <w:tblW w:w="0" w:type="auto"/>
          <w:tblLook w:val="04A0"/>
        </w:tblPrEx>
        <w:tc>
          <w:tcPr>
            <w:tcW w:w="6237" w:type="dxa"/>
          </w:tcPr>
          <w:p w:rsidR="00912492" w:rsidRPr="00D20B71" w:rsidP="003E6002">
            <w:pPr>
              <w:spacing w:after="60" w:line="240" w:lineRule="auto"/>
            </w:pPr>
            <w:r>
              <w:t>David Flin</w:t>
            </w:r>
          </w:p>
        </w:tc>
        <w:tc>
          <w:tcPr>
            <w:tcW w:w="2267" w:type="dxa"/>
          </w:tcPr>
          <w:p w:rsidR="00912492" w:rsidRPr="00D20B71" w:rsidP="003E6002">
            <w:pPr>
              <w:spacing w:after="60" w:line="240" w:lineRule="auto"/>
            </w:pPr>
          </w:p>
        </w:tc>
      </w:tr>
      <w:tr w:rsidTr="003F178C">
        <w:tblPrEx>
          <w:tblW w:w="0" w:type="auto"/>
          <w:tblLook w:val="04A0"/>
        </w:tblPrEx>
        <w:tc>
          <w:tcPr>
            <w:tcW w:w="6237" w:type="dxa"/>
          </w:tcPr>
          <w:p w:rsidR="00432217" w:rsidP="003E6002">
            <w:pPr>
              <w:spacing w:after="60" w:line="240" w:lineRule="auto"/>
            </w:pPr>
            <w:r w:rsidRPr="00432217">
              <w:t>Ben Griffiths</w:t>
            </w:r>
          </w:p>
        </w:tc>
        <w:tc>
          <w:tcPr>
            <w:tcW w:w="2267" w:type="dxa"/>
          </w:tcPr>
          <w:p w:rsidR="00432217" w:rsidRPr="00D20B71" w:rsidP="003E6002">
            <w:pPr>
              <w:spacing w:after="60" w:line="240" w:lineRule="auto"/>
            </w:pPr>
          </w:p>
        </w:tc>
      </w:tr>
    </w:tbl>
    <w:p w:rsidR="00613A4A" w:rsidP="009D63BD">
      <w:pPr>
        <w:keepNext/>
        <w:spacing w:after="0"/>
        <w:jc w:val="center"/>
        <w:rPr>
          <w:rFonts w:cs="Arial"/>
          <w:b/>
          <w:color w:val="000000" w:themeColor="text1"/>
          <w:szCs w:val="20"/>
        </w:rPr>
      </w:pPr>
    </w:p>
    <w:p w:rsidR="009D63BD" w:rsidRPr="001C354D" w:rsidP="009D63BD">
      <w:pPr>
        <w:keepNext/>
        <w:spacing w:after="0"/>
        <w:jc w:val="center"/>
        <w:rPr>
          <w:rFonts w:cs="Arial"/>
          <w:b/>
          <w:color w:val="000000" w:themeColor="text1"/>
          <w:szCs w:val="20"/>
        </w:rPr>
      </w:pPr>
      <w:r w:rsidRPr="001C354D">
        <w:rPr>
          <w:rFonts w:cs="Arial"/>
          <w:b/>
          <w:color w:val="000000" w:themeColor="text1"/>
          <w:szCs w:val="20"/>
        </w:rPr>
        <w:t>IMPORTANT NOTICES</w:t>
      </w:r>
    </w:p>
    <w:p w:rsidR="009D63BD" w:rsidP="009D63BD">
      <w:pPr>
        <w:keepNext/>
        <w:spacing w:after="0"/>
        <w:jc w:val="both"/>
        <w:rPr>
          <w:rFonts w:cs="Arial"/>
          <w:b/>
          <w:color w:val="000000" w:themeColor="text1"/>
          <w:szCs w:val="20"/>
        </w:rPr>
      </w:pPr>
    </w:p>
    <w:p w:rsidR="00613CEC" w:rsidRPr="00374AB8" w:rsidP="00613CEC">
      <w:pPr>
        <w:keepNext/>
        <w:jc w:val="both"/>
        <w:rPr>
          <w:rFonts w:cs="Arial"/>
          <w:color w:val="000000" w:themeColor="text1"/>
          <w:szCs w:val="20"/>
        </w:rPr>
      </w:pPr>
      <w:r w:rsidRPr="00374AB8">
        <w:rPr>
          <w:rFonts w:cs="Arial"/>
          <w:color w:val="000000" w:themeColor="text1"/>
          <w:szCs w:val="20"/>
        </w:rPr>
        <w:t xml:space="preserve">This announcement </w:t>
      </w:r>
      <w:r>
        <w:rPr>
          <w:rFonts w:cs="Arial"/>
          <w:color w:val="000000" w:themeColor="text1"/>
          <w:szCs w:val="20"/>
        </w:rPr>
        <w:t>(</w:t>
      </w:r>
      <w:r w:rsidRPr="00374AB8">
        <w:rPr>
          <w:rFonts w:cs="Arial"/>
          <w:color w:val="000000" w:themeColor="text1"/>
          <w:szCs w:val="20"/>
        </w:rPr>
        <w:t>the “</w:t>
      </w:r>
      <w:r w:rsidRPr="00613CEC">
        <w:rPr>
          <w:rFonts w:cs="Arial"/>
          <w:b/>
          <w:color w:val="000000" w:themeColor="text1"/>
          <w:szCs w:val="20"/>
        </w:rPr>
        <w:t>Announcement</w:t>
      </w:r>
      <w:r w:rsidRPr="00374AB8">
        <w:rPr>
          <w:rFonts w:cs="Arial"/>
          <w:color w:val="000000" w:themeColor="text1"/>
          <w:szCs w:val="20"/>
        </w:rPr>
        <w:t>”) does not constitute an offer to sell or a solicitation of an offer to purchase any securities in any jurisdiction.</w:t>
      </w:r>
    </w:p>
    <w:p w:rsidR="00374AB8" w:rsidRPr="00374AB8" w:rsidP="00613CEC">
      <w:pPr>
        <w:keepNext/>
        <w:jc w:val="both"/>
        <w:rPr>
          <w:rFonts w:cs="Arial"/>
          <w:color w:val="000000" w:themeColor="text1"/>
          <w:szCs w:val="20"/>
        </w:rPr>
      </w:pPr>
      <w:r w:rsidRPr="00374AB8">
        <w:rPr>
          <w:rFonts w:cs="Arial"/>
          <w:color w:val="000000" w:themeColor="text1"/>
          <w:szCs w:val="20"/>
        </w:rPr>
        <w:t xml:space="preserve">Any offer to acquire the Company’s securities pursuant to the proposed </w:t>
      </w:r>
      <w:r>
        <w:rPr>
          <w:rFonts w:cs="Arial"/>
          <w:color w:val="000000" w:themeColor="text1"/>
          <w:szCs w:val="20"/>
        </w:rPr>
        <w:t>Capital Raising</w:t>
      </w:r>
      <w:r w:rsidRPr="00374AB8">
        <w:rPr>
          <w:rFonts w:cs="Arial"/>
          <w:color w:val="000000" w:themeColor="text1"/>
          <w:szCs w:val="20"/>
        </w:rPr>
        <w:t xml:space="preserve"> referred to in these materials will be made, and any inves</w:t>
      </w:r>
      <w:r w:rsidRPr="00374AB8">
        <w:rPr>
          <w:rFonts w:cs="Arial"/>
          <w:color w:val="000000" w:themeColor="text1"/>
          <w:szCs w:val="20"/>
        </w:rPr>
        <w:t>tor should make his, her or its investment, solely on the basis of information that will be contained</w:t>
      </w:r>
      <w:r>
        <w:rPr>
          <w:rFonts w:cs="Arial"/>
          <w:color w:val="000000" w:themeColor="text1"/>
          <w:szCs w:val="20"/>
        </w:rPr>
        <w:t xml:space="preserve"> in the Pr</w:t>
      </w:r>
      <w:r>
        <w:rPr>
          <w:rFonts w:cs="Arial"/>
          <w:color w:val="000000" w:themeColor="text1"/>
          <w:szCs w:val="20"/>
        </w:rPr>
        <w:t xml:space="preserve">ospectus </w:t>
      </w:r>
      <w:r w:rsidRPr="00374AB8">
        <w:rPr>
          <w:rFonts w:cs="Arial"/>
          <w:color w:val="000000" w:themeColor="text1"/>
          <w:szCs w:val="20"/>
        </w:rPr>
        <w:t xml:space="preserve">to be made generally available in the United Kingdom in connection with such </w:t>
      </w:r>
      <w:r>
        <w:rPr>
          <w:rFonts w:cs="Arial"/>
          <w:color w:val="000000" w:themeColor="text1"/>
          <w:szCs w:val="20"/>
        </w:rPr>
        <w:t>Capital Raising</w:t>
      </w:r>
      <w:r w:rsidRPr="00374AB8">
        <w:rPr>
          <w:rFonts w:cs="Arial"/>
          <w:color w:val="000000" w:themeColor="text1"/>
          <w:szCs w:val="20"/>
        </w:rPr>
        <w:t xml:space="preserve">. When made generally available, copies of the </w:t>
      </w:r>
      <w:r>
        <w:rPr>
          <w:rFonts w:cs="Arial"/>
          <w:color w:val="000000" w:themeColor="text1"/>
          <w:szCs w:val="20"/>
        </w:rPr>
        <w:t xml:space="preserve">Prospectus </w:t>
      </w:r>
      <w:r w:rsidRPr="00374AB8">
        <w:rPr>
          <w:rFonts w:cs="Arial"/>
          <w:color w:val="000000" w:themeColor="text1"/>
          <w:szCs w:val="20"/>
        </w:rPr>
        <w:t>may be obtained at no cost from the Company or through the website of the Company.</w:t>
      </w:r>
    </w:p>
    <w:p w:rsidR="00374AB8" w:rsidRPr="00374AB8" w:rsidP="00613CEC">
      <w:pPr>
        <w:keepNext/>
        <w:jc w:val="both"/>
        <w:rPr>
          <w:rFonts w:cs="Arial"/>
          <w:color w:val="000000" w:themeColor="text1"/>
          <w:szCs w:val="20"/>
        </w:rPr>
      </w:pPr>
      <w:r w:rsidRPr="00374AB8">
        <w:rPr>
          <w:rFonts w:cs="Arial"/>
          <w:color w:val="000000" w:themeColor="text1"/>
          <w:szCs w:val="20"/>
        </w:rPr>
        <w:t>This Announcem</w:t>
      </w:r>
      <w:r w:rsidRPr="00374AB8">
        <w:rPr>
          <w:rFonts w:cs="Arial"/>
          <w:color w:val="000000" w:themeColor="text1"/>
          <w:szCs w:val="20"/>
        </w:rPr>
        <w:t xml:space="preserve">ent and the information contained in it is not for publication, release, transmission, distribution or forwarding, in whole or in part, directly or indirectly, in or into the United States, Australia, Canada, Hong Kong, Japan, </w:t>
      </w:r>
      <w:r>
        <w:rPr>
          <w:rFonts w:cs="Arial"/>
          <w:color w:val="000000" w:themeColor="text1"/>
          <w:szCs w:val="20"/>
        </w:rPr>
        <w:t xml:space="preserve">the </w:t>
      </w:r>
      <w:r w:rsidRPr="00374AB8">
        <w:rPr>
          <w:rFonts w:cs="Arial"/>
          <w:color w:val="000000" w:themeColor="text1"/>
          <w:szCs w:val="20"/>
        </w:rPr>
        <w:t xml:space="preserve">Kingdom of Saudi Arabia, </w:t>
      </w:r>
      <w:r w:rsidRPr="00374AB8">
        <w:rPr>
          <w:rFonts w:cs="Arial"/>
          <w:color w:val="000000" w:themeColor="text1"/>
          <w:szCs w:val="20"/>
        </w:rPr>
        <w:t>the Republic of Korea, Singapore, the Republic of South Africa, the United Arab Emirates or any other jurisdiction in which it would be unlawful to do so (together, the “</w:t>
      </w:r>
      <w:r w:rsidRPr="000470FB">
        <w:rPr>
          <w:rFonts w:cs="Arial"/>
          <w:b/>
          <w:color w:val="000000" w:themeColor="text1"/>
          <w:szCs w:val="20"/>
        </w:rPr>
        <w:t>Excluded Territories</w:t>
      </w:r>
      <w:r w:rsidRPr="00374AB8">
        <w:rPr>
          <w:rFonts w:cs="Arial"/>
          <w:color w:val="000000" w:themeColor="text1"/>
          <w:szCs w:val="20"/>
        </w:rPr>
        <w:t>”). This Announcement is for information purposes only and does no</w:t>
      </w:r>
      <w:r w:rsidRPr="00374AB8">
        <w:rPr>
          <w:rFonts w:cs="Arial"/>
          <w:color w:val="000000" w:themeColor="text1"/>
          <w:szCs w:val="20"/>
        </w:rPr>
        <w:t>t constitute an offer to sell or issue or the solicitation of an offer to buy, acquire or subscribe for shares in any of the Excluded Territories. This Announcement has not been approved by the London Stock Exchange plc (the “</w:t>
      </w:r>
      <w:r w:rsidRPr="000470FB">
        <w:rPr>
          <w:rFonts w:cs="Arial"/>
          <w:b/>
          <w:color w:val="000000" w:themeColor="text1"/>
          <w:szCs w:val="20"/>
        </w:rPr>
        <w:t>London Stock Exchange</w:t>
      </w:r>
      <w:r w:rsidRPr="00374AB8">
        <w:rPr>
          <w:rFonts w:cs="Arial"/>
          <w:color w:val="000000" w:themeColor="text1"/>
          <w:szCs w:val="20"/>
        </w:rPr>
        <w:t>”). Any f</w:t>
      </w:r>
      <w:r w:rsidRPr="00374AB8">
        <w:rPr>
          <w:rFonts w:cs="Arial"/>
          <w:color w:val="000000" w:themeColor="text1"/>
          <w:szCs w:val="20"/>
        </w:rPr>
        <w:t>ailure to comply with these restrictions may constitute a violation of the securities laws of such jurisdictions.</w:t>
      </w:r>
    </w:p>
    <w:p w:rsidR="00374AB8" w:rsidRPr="00374AB8" w:rsidP="00613CEC">
      <w:pPr>
        <w:keepNext/>
        <w:jc w:val="both"/>
        <w:rPr>
          <w:rFonts w:cs="Arial"/>
          <w:color w:val="000000" w:themeColor="text1"/>
          <w:szCs w:val="20"/>
        </w:rPr>
      </w:pPr>
      <w:bookmarkStart w:id="1" w:name="_Hlk62812850"/>
      <w:r w:rsidRPr="00374AB8">
        <w:rPr>
          <w:rFonts w:cs="Arial"/>
          <w:color w:val="000000" w:themeColor="text1"/>
          <w:szCs w:val="20"/>
        </w:rPr>
        <w:t>The securities mentioned herein (the “</w:t>
      </w:r>
      <w:r w:rsidRPr="00613CEC">
        <w:rPr>
          <w:rFonts w:cs="Arial"/>
          <w:b/>
          <w:color w:val="000000" w:themeColor="text1"/>
          <w:szCs w:val="20"/>
        </w:rPr>
        <w:t>Securities</w:t>
      </w:r>
      <w:r w:rsidRPr="00374AB8">
        <w:rPr>
          <w:rFonts w:cs="Arial"/>
          <w:color w:val="000000" w:themeColor="text1"/>
          <w:szCs w:val="20"/>
        </w:rPr>
        <w:t xml:space="preserve">”) have not been and will not be registered under the U.S. Securities Act of 1933, as amended </w:t>
      </w:r>
      <w:r w:rsidRPr="00374AB8">
        <w:rPr>
          <w:rFonts w:cs="Arial"/>
          <w:color w:val="000000" w:themeColor="text1"/>
          <w:szCs w:val="20"/>
        </w:rPr>
        <w:t>(the “</w:t>
      </w:r>
      <w:r w:rsidRPr="00613CEC">
        <w:rPr>
          <w:rFonts w:cs="Arial"/>
          <w:b/>
          <w:color w:val="000000" w:themeColor="text1"/>
          <w:szCs w:val="20"/>
        </w:rPr>
        <w:t>Securities Act</w:t>
      </w:r>
      <w:r w:rsidRPr="00374AB8">
        <w:rPr>
          <w:rFonts w:cs="Arial"/>
          <w:color w:val="000000" w:themeColor="text1"/>
          <w:szCs w:val="20"/>
        </w:rPr>
        <w:t>”) or under the applicable securities laws of any state or other jurisdiction of the United States. The Securities may not be offered, sold, pledged, taken up, exercised, resold, renounced, transferred or delivered, directly or indirect</w:t>
      </w:r>
      <w:r w:rsidRPr="00374AB8">
        <w:rPr>
          <w:rFonts w:cs="Arial"/>
          <w:color w:val="000000" w:themeColor="text1"/>
          <w:szCs w:val="20"/>
        </w:rPr>
        <w:t>ly, in the United States absent registration under the Securities Act, except pursuant to an applicable exemption from, or in a transaction not subject to, the registration requirements of the Securities Act and in compliance with any applicable securities</w:t>
      </w:r>
      <w:r w:rsidRPr="00374AB8">
        <w:rPr>
          <w:rFonts w:cs="Arial"/>
          <w:color w:val="000000" w:themeColor="text1"/>
          <w:szCs w:val="20"/>
        </w:rPr>
        <w:t xml:space="preserve"> laws of any state o</w:t>
      </w:r>
      <w:r>
        <w:rPr>
          <w:rFonts w:cs="Arial"/>
          <w:color w:val="000000" w:themeColor="text1"/>
          <w:szCs w:val="20"/>
        </w:rPr>
        <w:t>r</w:t>
      </w:r>
      <w:r w:rsidRPr="00374AB8">
        <w:rPr>
          <w:rFonts w:cs="Arial"/>
          <w:color w:val="000000" w:themeColor="text1"/>
          <w:szCs w:val="20"/>
        </w:rPr>
        <w:t xml:space="preserve"> other jurisdiction of the United States. There will be no public offering </w:t>
      </w:r>
      <w:r>
        <w:rPr>
          <w:rFonts w:cs="Arial"/>
          <w:color w:val="000000" w:themeColor="text1"/>
          <w:szCs w:val="20"/>
        </w:rPr>
        <w:t xml:space="preserve">of the Securities </w:t>
      </w:r>
      <w:r w:rsidRPr="00374AB8">
        <w:rPr>
          <w:rFonts w:cs="Arial"/>
          <w:color w:val="000000" w:themeColor="text1"/>
          <w:szCs w:val="20"/>
        </w:rPr>
        <w:t>in the United States</w:t>
      </w:r>
      <w:r>
        <w:rPr>
          <w:rFonts w:cs="Arial"/>
          <w:color w:val="000000" w:themeColor="text1"/>
          <w:szCs w:val="20"/>
        </w:rPr>
        <w:t xml:space="preserve">. </w:t>
      </w:r>
      <w:bookmarkStart w:id="2" w:name="_Hlk62740589"/>
      <w:bookmarkStart w:id="3" w:name="_Hlk62739281"/>
      <w:r w:rsidRPr="00165E06">
        <w:rPr>
          <w:rFonts w:cs="Arial"/>
          <w:color w:val="000000" w:themeColor="text1"/>
          <w:szCs w:val="20"/>
        </w:rPr>
        <w:t xml:space="preserve">Subject to certain limited exceptions, </w:t>
      </w:r>
      <w:bookmarkEnd w:id="2"/>
      <w:r w:rsidRPr="004265B6">
        <w:rPr>
          <w:rFonts w:cs="Arial"/>
          <w:color w:val="000000" w:themeColor="text1"/>
          <w:szCs w:val="20"/>
        </w:rPr>
        <w:t>Application Forms have not been, and will not be, sent to, and Open Offer Entitle</w:t>
      </w:r>
      <w:r w:rsidRPr="004265B6">
        <w:rPr>
          <w:rFonts w:cs="Arial"/>
          <w:color w:val="000000" w:themeColor="text1"/>
          <w:szCs w:val="20"/>
        </w:rPr>
        <w:t>ments have not been, and will not be, credited to the CREST account of, any Qualifying Shareholder with a registered address in the United States.</w:t>
      </w:r>
      <w:bookmarkEnd w:id="3"/>
      <w:r>
        <w:rPr>
          <w:rFonts w:cs="Arial"/>
          <w:color w:val="000000" w:themeColor="text1"/>
          <w:szCs w:val="20"/>
        </w:rPr>
        <w:t xml:space="preserve"> None of the</w:t>
      </w:r>
      <w:r w:rsidRPr="00374AB8">
        <w:rPr>
          <w:rFonts w:cs="Arial"/>
          <w:color w:val="000000" w:themeColor="text1"/>
          <w:szCs w:val="20"/>
        </w:rPr>
        <w:t xml:space="preserve"> Securities</w:t>
      </w:r>
      <w:r>
        <w:rPr>
          <w:rFonts w:cs="Arial"/>
          <w:color w:val="000000" w:themeColor="text1"/>
          <w:szCs w:val="20"/>
        </w:rPr>
        <w:t xml:space="preserve">, </w:t>
      </w:r>
      <w:bookmarkStart w:id="4" w:name="_Hlk62739315"/>
      <w:r w:rsidRPr="00165E06">
        <w:rPr>
          <w:rFonts w:cs="Arial"/>
          <w:color w:val="000000" w:themeColor="text1"/>
          <w:szCs w:val="20"/>
        </w:rPr>
        <w:t xml:space="preserve">the </w:t>
      </w:r>
      <w:r>
        <w:rPr>
          <w:rFonts w:cs="Arial"/>
          <w:color w:val="000000" w:themeColor="text1"/>
          <w:szCs w:val="20"/>
        </w:rPr>
        <w:t>Application</w:t>
      </w:r>
      <w:r w:rsidRPr="00165E06">
        <w:rPr>
          <w:rFonts w:cs="Arial"/>
          <w:color w:val="000000" w:themeColor="text1"/>
          <w:szCs w:val="20"/>
        </w:rPr>
        <w:t xml:space="preserve"> </w:t>
      </w:r>
      <w:r>
        <w:rPr>
          <w:rFonts w:cs="Arial"/>
          <w:color w:val="000000" w:themeColor="text1"/>
          <w:szCs w:val="20"/>
        </w:rPr>
        <w:t>Forms</w:t>
      </w:r>
      <w:r w:rsidRPr="00165E06">
        <w:rPr>
          <w:rFonts w:cs="Arial"/>
          <w:color w:val="000000" w:themeColor="text1"/>
          <w:szCs w:val="20"/>
        </w:rPr>
        <w:t xml:space="preserve">, this announcement or any other document connected with the </w:t>
      </w:r>
      <w:r>
        <w:rPr>
          <w:rFonts w:cs="Arial"/>
          <w:color w:val="000000" w:themeColor="text1"/>
          <w:szCs w:val="20"/>
        </w:rPr>
        <w:t>Cap</w:t>
      </w:r>
      <w:r>
        <w:rPr>
          <w:rFonts w:cs="Arial"/>
          <w:color w:val="000000" w:themeColor="text1"/>
          <w:szCs w:val="20"/>
        </w:rPr>
        <w:t>ital Raising</w:t>
      </w:r>
      <w:r w:rsidRPr="00165E06">
        <w:rPr>
          <w:rFonts w:cs="Arial"/>
          <w:color w:val="000000" w:themeColor="text1"/>
          <w:szCs w:val="20"/>
        </w:rPr>
        <w:t xml:space="preserve"> has been or will be</w:t>
      </w:r>
      <w:bookmarkEnd w:id="4"/>
      <w:r w:rsidRPr="00374AB8">
        <w:rPr>
          <w:rFonts w:cs="Arial"/>
          <w:color w:val="000000" w:themeColor="text1"/>
          <w:szCs w:val="20"/>
        </w:rPr>
        <w:t xml:space="preserve"> approved or disapproved by the U.S. Securities and Exchange Commission, any state securities commission in the United States, or any </w:t>
      </w:r>
      <w:r>
        <w:rPr>
          <w:rFonts w:cs="Arial"/>
          <w:color w:val="000000" w:themeColor="text1"/>
          <w:szCs w:val="20"/>
        </w:rPr>
        <w:t xml:space="preserve">other </w:t>
      </w:r>
      <w:r w:rsidRPr="00374AB8">
        <w:rPr>
          <w:rFonts w:cs="Arial"/>
          <w:color w:val="000000" w:themeColor="text1"/>
          <w:szCs w:val="20"/>
        </w:rPr>
        <w:t xml:space="preserve">U.S. regulatory authority, nor have any of the foregoing authorities passed upon or </w:t>
      </w:r>
      <w:r w:rsidRPr="00374AB8">
        <w:rPr>
          <w:rFonts w:cs="Arial"/>
          <w:color w:val="000000" w:themeColor="text1"/>
          <w:szCs w:val="20"/>
        </w:rPr>
        <w:t>endorsed the merits of the offering o</w:t>
      </w:r>
      <w:r>
        <w:rPr>
          <w:rFonts w:cs="Arial"/>
          <w:color w:val="000000" w:themeColor="text1"/>
          <w:szCs w:val="20"/>
        </w:rPr>
        <w:t>f</w:t>
      </w:r>
      <w:r w:rsidRPr="00374AB8">
        <w:rPr>
          <w:rFonts w:cs="Arial"/>
          <w:color w:val="000000" w:themeColor="text1"/>
          <w:szCs w:val="20"/>
        </w:rPr>
        <w:t xml:space="preserve"> the Securities or the accuracy or adequacy of any of the documents or other information related thereto. Any representation to the contrary is a criminal offence in the United States. </w:t>
      </w:r>
    </w:p>
    <w:p w:rsidR="00374AB8" w:rsidRPr="00374AB8" w:rsidP="00613CEC">
      <w:pPr>
        <w:keepNext/>
        <w:jc w:val="both"/>
        <w:rPr>
          <w:rFonts w:cs="Arial"/>
          <w:color w:val="000000" w:themeColor="text1"/>
          <w:szCs w:val="20"/>
        </w:rPr>
      </w:pPr>
      <w:bookmarkEnd w:id="1"/>
      <w:r w:rsidRPr="00374AB8">
        <w:rPr>
          <w:rFonts w:cs="Arial"/>
          <w:color w:val="000000" w:themeColor="text1"/>
          <w:szCs w:val="20"/>
        </w:rPr>
        <w:t>There will be no public offering</w:t>
      </w:r>
      <w:r w:rsidRPr="00374AB8">
        <w:rPr>
          <w:rFonts w:cs="Arial"/>
          <w:color w:val="000000" w:themeColor="text1"/>
          <w:szCs w:val="20"/>
        </w:rPr>
        <w:t xml:space="preserve"> of securities in the Excluded Territories, which includes any other jurisdiction in which such offer, solicitation or sale </w:t>
      </w:r>
      <w:r w:rsidRPr="00374AB8">
        <w:rPr>
          <w:rFonts w:cs="Arial"/>
          <w:color w:val="000000" w:themeColor="text1"/>
          <w:szCs w:val="20"/>
        </w:rPr>
        <w:t>would be unlawful prior to registration, exemption from registration or qualification under the securities laws of such jurisdiction</w:t>
      </w:r>
      <w:r w:rsidRPr="00374AB8">
        <w:rPr>
          <w:rFonts w:cs="Arial"/>
          <w:color w:val="000000" w:themeColor="text1"/>
          <w:szCs w:val="20"/>
        </w:rPr>
        <w:t>.</w:t>
      </w:r>
    </w:p>
    <w:p w:rsidR="00374AB8" w:rsidRPr="00374AB8" w:rsidP="00613CEC">
      <w:pPr>
        <w:keepNext/>
        <w:jc w:val="both"/>
        <w:rPr>
          <w:rFonts w:cs="Arial"/>
          <w:color w:val="000000" w:themeColor="text1"/>
          <w:szCs w:val="20"/>
        </w:rPr>
      </w:pPr>
      <w:r w:rsidRPr="00374AB8">
        <w:rPr>
          <w:rFonts w:cs="Arial"/>
          <w:color w:val="000000" w:themeColor="text1"/>
          <w:szCs w:val="20"/>
        </w:rPr>
        <w:t>This Announcement has been issued by, and is the sole responsibility of, the Company. No representation or warranty, express or implied, is or will be made as to, or in relation to, and no responsibility or liability is or will be accepted by J.P. Morgan</w:t>
      </w:r>
      <w:r w:rsidRPr="00374AB8">
        <w:rPr>
          <w:rFonts w:cs="Arial"/>
          <w:color w:val="000000" w:themeColor="text1"/>
          <w:szCs w:val="20"/>
        </w:rPr>
        <w:t xml:space="preserve"> Securities plc (which conducts its UK investment banking activities under the marketing name, J.P. Morgan Cazenove) ("</w:t>
      </w:r>
      <w:r w:rsidRPr="00613CEC">
        <w:rPr>
          <w:rFonts w:cs="Arial"/>
          <w:b/>
          <w:color w:val="000000" w:themeColor="text1"/>
          <w:szCs w:val="20"/>
        </w:rPr>
        <w:t>J.P. Morgan</w:t>
      </w:r>
      <w:r w:rsidRPr="00374AB8">
        <w:rPr>
          <w:rFonts w:cs="Arial"/>
          <w:color w:val="000000" w:themeColor="text1"/>
          <w:szCs w:val="20"/>
        </w:rPr>
        <w:t>") or Investec Bank plc (“</w:t>
      </w:r>
      <w:r w:rsidRPr="00613CEC">
        <w:rPr>
          <w:rFonts w:cs="Arial"/>
          <w:b/>
          <w:color w:val="000000" w:themeColor="text1"/>
          <w:szCs w:val="20"/>
        </w:rPr>
        <w:t>Investec</w:t>
      </w:r>
      <w:r w:rsidRPr="00374AB8">
        <w:rPr>
          <w:rFonts w:cs="Arial"/>
          <w:color w:val="000000" w:themeColor="text1"/>
          <w:szCs w:val="20"/>
        </w:rPr>
        <w:t>”), or by any of their respective affiliates or agents as to or in relation to, the accuracy</w:t>
      </w:r>
      <w:r w:rsidRPr="00374AB8">
        <w:rPr>
          <w:rFonts w:cs="Arial"/>
          <w:color w:val="000000" w:themeColor="text1"/>
          <w:szCs w:val="20"/>
        </w:rPr>
        <w:t xml:space="preserve"> or completeness of this Announcement or any other written or oral information made available to or publicly available to any interested party or its advisers, and any liability therefore is expressly disclaimed.</w:t>
      </w:r>
    </w:p>
    <w:p w:rsidR="00374AB8" w:rsidRPr="00374AB8" w:rsidP="00613CEC">
      <w:pPr>
        <w:keepNext/>
        <w:jc w:val="both"/>
        <w:rPr>
          <w:rFonts w:cs="Arial"/>
          <w:color w:val="000000" w:themeColor="text1"/>
          <w:szCs w:val="20"/>
        </w:rPr>
      </w:pPr>
      <w:r w:rsidRPr="00374AB8">
        <w:rPr>
          <w:rFonts w:cs="Arial"/>
          <w:color w:val="000000" w:themeColor="text1"/>
          <w:szCs w:val="20"/>
        </w:rPr>
        <w:t>J.P. Morgan and Investec</w:t>
      </w:r>
      <w:r>
        <w:rPr>
          <w:rFonts w:cs="Arial"/>
          <w:color w:val="000000" w:themeColor="text1"/>
          <w:szCs w:val="20"/>
        </w:rPr>
        <w:t xml:space="preserve"> (together, the “</w:t>
      </w:r>
      <w:r w:rsidRPr="00947EC5">
        <w:rPr>
          <w:rFonts w:cs="Arial"/>
          <w:b/>
          <w:bCs/>
          <w:color w:val="000000" w:themeColor="text1"/>
          <w:szCs w:val="20"/>
        </w:rPr>
        <w:t>Jo</w:t>
      </w:r>
      <w:r w:rsidRPr="00947EC5">
        <w:rPr>
          <w:rFonts w:cs="Arial"/>
          <w:b/>
          <w:bCs/>
          <w:color w:val="000000" w:themeColor="text1"/>
          <w:szCs w:val="20"/>
        </w:rPr>
        <w:t>int Bookrunners</w:t>
      </w:r>
      <w:r>
        <w:rPr>
          <w:rFonts w:cs="Arial"/>
          <w:color w:val="000000" w:themeColor="text1"/>
          <w:szCs w:val="20"/>
        </w:rPr>
        <w:t>”)</w:t>
      </w:r>
      <w:r w:rsidRPr="00374AB8">
        <w:rPr>
          <w:rFonts w:cs="Arial"/>
          <w:color w:val="000000" w:themeColor="text1"/>
          <w:szCs w:val="20"/>
        </w:rPr>
        <w:t xml:space="preserve"> are authorised by the Prudential Regulation Authority </w:t>
      </w:r>
      <w:r>
        <w:rPr>
          <w:rFonts w:cs="Arial"/>
          <w:color w:val="000000" w:themeColor="text1"/>
          <w:szCs w:val="20"/>
        </w:rPr>
        <w:t>(“</w:t>
      </w:r>
      <w:r>
        <w:rPr>
          <w:rFonts w:cs="Arial"/>
          <w:b/>
          <w:bCs/>
          <w:color w:val="000000" w:themeColor="text1"/>
          <w:szCs w:val="20"/>
        </w:rPr>
        <w:t>PRA</w:t>
      </w:r>
      <w:r>
        <w:rPr>
          <w:rFonts w:cs="Arial"/>
          <w:color w:val="000000" w:themeColor="text1"/>
          <w:szCs w:val="20"/>
        </w:rPr>
        <w:t>”)</w:t>
      </w:r>
      <w:r>
        <w:rPr>
          <w:rFonts w:cs="Arial"/>
          <w:b/>
          <w:bCs/>
          <w:color w:val="000000" w:themeColor="text1"/>
          <w:szCs w:val="20"/>
        </w:rPr>
        <w:t xml:space="preserve"> </w:t>
      </w:r>
      <w:r w:rsidRPr="00374AB8">
        <w:rPr>
          <w:rFonts w:cs="Arial"/>
          <w:color w:val="000000" w:themeColor="text1"/>
          <w:szCs w:val="20"/>
        </w:rPr>
        <w:t xml:space="preserve">and regulated in the United Kingdom by the Financial Conduct Authority and the </w:t>
      </w:r>
      <w:r>
        <w:rPr>
          <w:rFonts w:cs="Arial"/>
          <w:color w:val="000000" w:themeColor="text1"/>
          <w:szCs w:val="20"/>
        </w:rPr>
        <w:t>PRA</w:t>
      </w:r>
      <w:r w:rsidRPr="00374AB8">
        <w:rPr>
          <w:rFonts w:cs="Arial"/>
          <w:color w:val="000000" w:themeColor="text1"/>
          <w:szCs w:val="20"/>
        </w:rPr>
        <w:t xml:space="preserve">. </w:t>
      </w:r>
      <w:r>
        <w:rPr>
          <w:rFonts w:cs="Arial"/>
          <w:color w:val="000000" w:themeColor="text1"/>
          <w:szCs w:val="20"/>
        </w:rPr>
        <w:t xml:space="preserve">Each of </w:t>
      </w:r>
      <w:r w:rsidRPr="00374AB8">
        <w:rPr>
          <w:rFonts w:cs="Arial"/>
          <w:color w:val="000000" w:themeColor="text1"/>
          <w:szCs w:val="20"/>
        </w:rPr>
        <w:t xml:space="preserve">J.P. Morgan and Investec </w:t>
      </w:r>
      <w:r>
        <w:rPr>
          <w:rFonts w:cs="Arial"/>
          <w:color w:val="000000" w:themeColor="text1"/>
          <w:szCs w:val="20"/>
        </w:rPr>
        <w:t>is</w:t>
      </w:r>
      <w:r w:rsidRPr="00374AB8">
        <w:rPr>
          <w:rFonts w:cs="Arial"/>
          <w:color w:val="000000" w:themeColor="text1"/>
          <w:szCs w:val="20"/>
        </w:rPr>
        <w:t xml:space="preserve"> acting solely for the Company and no one else in connection with the </w:t>
      </w:r>
      <w:r>
        <w:rPr>
          <w:rFonts w:cs="Arial"/>
          <w:color w:val="000000" w:themeColor="text1"/>
          <w:szCs w:val="20"/>
        </w:rPr>
        <w:t>Capital Raising</w:t>
      </w:r>
      <w:r w:rsidRPr="00374AB8">
        <w:rPr>
          <w:rFonts w:cs="Arial"/>
          <w:color w:val="000000" w:themeColor="text1"/>
          <w:szCs w:val="20"/>
        </w:rPr>
        <w:t xml:space="preserve"> or any other matter referred to in this Announcement and will not be responsible to anyone other than the Company for providing the protections afforded to their </w:t>
      </w:r>
      <w:r>
        <w:rPr>
          <w:rFonts w:cs="Arial"/>
          <w:color w:val="000000" w:themeColor="text1"/>
          <w:szCs w:val="20"/>
        </w:rPr>
        <w:t>respecti</w:t>
      </w:r>
      <w:r>
        <w:rPr>
          <w:rFonts w:cs="Arial"/>
          <w:color w:val="000000" w:themeColor="text1"/>
          <w:szCs w:val="20"/>
        </w:rPr>
        <w:t xml:space="preserve">ve </w:t>
      </w:r>
      <w:r w:rsidRPr="00374AB8">
        <w:rPr>
          <w:rFonts w:cs="Arial"/>
          <w:color w:val="000000" w:themeColor="text1"/>
          <w:szCs w:val="20"/>
        </w:rPr>
        <w:t xml:space="preserve">clients nor for providing advice in relation to the </w:t>
      </w:r>
      <w:r>
        <w:rPr>
          <w:rFonts w:cs="Arial"/>
          <w:color w:val="000000" w:themeColor="text1"/>
          <w:szCs w:val="20"/>
        </w:rPr>
        <w:t>Capital Raising</w:t>
      </w:r>
      <w:r w:rsidRPr="00374AB8">
        <w:rPr>
          <w:rFonts w:cs="Arial"/>
          <w:color w:val="000000" w:themeColor="text1"/>
          <w:szCs w:val="20"/>
        </w:rPr>
        <w:t xml:space="preserve"> and/or any other matter referred to in this Announcement. </w:t>
      </w:r>
      <w:r>
        <w:rPr>
          <w:rFonts w:cs="Arial"/>
          <w:color w:val="000000" w:themeColor="text1"/>
          <w:szCs w:val="20"/>
        </w:rPr>
        <w:t>Any prospective purchaser of the shares in the Company is recommended to seek its own independent financial advice.</w:t>
      </w:r>
    </w:p>
    <w:p w:rsidR="00374AB8" w:rsidRPr="00374AB8" w:rsidP="00613CEC">
      <w:pPr>
        <w:keepNext/>
        <w:jc w:val="both"/>
        <w:rPr>
          <w:rFonts w:cs="Arial"/>
          <w:color w:val="000000" w:themeColor="text1"/>
          <w:szCs w:val="20"/>
        </w:rPr>
      </w:pPr>
      <w:r w:rsidRPr="00374AB8">
        <w:rPr>
          <w:rFonts w:cs="Arial"/>
          <w:color w:val="000000" w:themeColor="text1"/>
          <w:szCs w:val="20"/>
        </w:rPr>
        <w:t>Save for th</w:t>
      </w:r>
      <w:r w:rsidRPr="00374AB8">
        <w:rPr>
          <w:rFonts w:cs="Arial"/>
          <w:color w:val="000000" w:themeColor="text1"/>
          <w:szCs w:val="20"/>
        </w:rPr>
        <w:t xml:space="preserve">e responsibilities and liabilities, if any, which may be imposed on each of J.P. Morgan and Investec by FSMA or by the regulatory regime established under </w:t>
      </w:r>
      <w:r>
        <w:rPr>
          <w:rFonts w:cs="Arial"/>
          <w:color w:val="000000" w:themeColor="text1"/>
          <w:szCs w:val="20"/>
        </w:rPr>
        <w:t>FSMA</w:t>
      </w:r>
      <w:r w:rsidRPr="00374AB8">
        <w:rPr>
          <w:rFonts w:cs="Arial"/>
          <w:color w:val="000000" w:themeColor="text1"/>
          <w:szCs w:val="20"/>
        </w:rPr>
        <w:t>, neither J.P. Morgan nor Investec nor any of their respective affiliates accepts any duty, liabi</w:t>
      </w:r>
      <w:r w:rsidRPr="00374AB8">
        <w:rPr>
          <w:rFonts w:cs="Arial"/>
          <w:color w:val="000000" w:themeColor="text1"/>
          <w:szCs w:val="20"/>
        </w:rPr>
        <w:t>lity or responsibility whatsoever for the contents of the information contained in this Announcement</w:t>
      </w:r>
      <w:r>
        <w:rPr>
          <w:rFonts w:cs="Arial"/>
          <w:color w:val="000000" w:themeColor="text1"/>
          <w:szCs w:val="20"/>
        </w:rPr>
        <w:t>, including its accuracy, completeness or verification</w:t>
      </w:r>
      <w:r>
        <w:rPr>
          <w:rFonts w:cs="Arial"/>
          <w:color w:val="000000" w:themeColor="text1"/>
          <w:szCs w:val="20"/>
        </w:rPr>
        <w:t>,</w:t>
      </w:r>
      <w:r w:rsidRPr="00374AB8">
        <w:rPr>
          <w:rFonts w:cs="Arial"/>
          <w:color w:val="000000" w:themeColor="text1"/>
          <w:szCs w:val="20"/>
        </w:rPr>
        <w:t xml:space="preserve"> or for any other statement made or purported to be made by or on behalf of J.P. Morgan or Investec o</w:t>
      </w:r>
      <w:r w:rsidRPr="00374AB8">
        <w:rPr>
          <w:rFonts w:cs="Arial"/>
          <w:color w:val="000000" w:themeColor="text1"/>
          <w:szCs w:val="20"/>
        </w:rPr>
        <w:t xml:space="preserve">r any of their respective affiliates in connection with the Company, the Securities or the </w:t>
      </w:r>
      <w:r>
        <w:rPr>
          <w:rFonts w:cs="Arial"/>
          <w:color w:val="000000" w:themeColor="text1"/>
          <w:szCs w:val="20"/>
        </w:rPr>
        <w:t>Capital Raising</w:t>
      </w:r>
      <w:r w:rsidRPr="00374AB8">
        <w:rPr>
          <w:rFonts w:cs="Arial"/>
          <w:color w:val="000000" w:themeColor="text1"/>
          <w:szCs w:val="20"/>
        </w:rPr>
        <w:t xml:space="preserve"> to any person who is not their client in connection with this Announcement, any statements contained herein or otherwise. J.P. Morgan, Investec and e</w:t>
      </w:r>
      <w:r w:rsidRPr="00374AB8">
        <w:rPr>
          <w:rFonts w:cs="Arial"/>
          <w:color w:val="000000" w:themeColor="text1"/>
          <w:szCs w:val="20"/>
        </w:rPr>
        <w:t>ach of their affiliates accordingly disclaim</w:t>
      </w:r>
      <w:r>
        <w:rPr>
          <w:rFonts w:cs="Arial"/>
          <w:color w:val="000000" w:themeColor="text1"/>
          <w:szCs w:val="20"/>
        </w:rPr>
        <w:t>, to the fullest extent permitted by law,</w:t>
      </w:r>
      <w:r w:rsidRPr="00374AB8">
        <w:rPr>
          <w:rFonts w:cs="Arial"/>
          <w:color w:val="000000" w:themeColor="text1"/>
          <w:szCs w:val="20"/>
        </w:rPr>
        <w:t xml:space="preserve"> all and any responsibility and liability whatsoever, whether direct or indirect, whether arising in tort, contract, under statute or otherwise (save as referred to above)</w:t>
      </w:r>
      <w:r w:rsidRPr="00374AB8">
        <w:rPr>
          <w:rFonts w:cs="Arial"/>
          <w:color w:val="000000" w:themeColor="text1"/>
          <w:szCs w:val="20"/>
        </w:rPr>
        <w:t xml:space="preserve"> in respect of </w:t>
      </w:r>
      <w:r>
        <w:rPr>
          <w:rFonts w:cs="Arial"/>
          <w:color w:val="000000" w:themeColor="text1"/>
          <w:szCs w:val="20"/>
        </w:rPr>
        <w:t xml:space="preserve">the use of this Announcement or </w:t>
      </w:r>
      <w:r w:rsidRPr="00374AB8">
        <w:rPr>
          <w:rFonts w:cs="Arial"/>
          <w:color w:val="000000" w:themeColor="text1"/>
          <w:szCs w:val="20"/>
        </w:rPr>
        <w:t xml:space="preserve">any statements or other information contained in </w:t>
      </w:r>
      <w:r>
        <w:rPr>
          <w:rFonts w:cs="Arial"/>
          <w:color w:val="000000" w:themeColor="text1"/>
          <w:szCs w:val="20"/>
        </w:rPr>
        <w:t xml:space="preserve">(or omitted from) </w:t>
      </w:r>
      <w:r w:rsidRPr="00374AB8">
        <w:rPr>
          <w:rFonts w:cs="Arial"/>
          <w:color w:val="000000" w:themeColor="text1"/>
          <w:szCs w:val="20"/>
        </w:rPr>
        <w:t>this Announcement. No representation or warranty, express or implied, in relation to the contents of this Announcement is made or purported to</w:t>
      </w:r>
      <w:r w:rsidRPr="00374AB8">
        <w:rPr>
          <w:rFonts w:cs="Arial"/>
          <w:color w:val="000000" w:themeColor="text1"/>
          <w:szCs w:val="20"/>
        </w:rPr>
        <w:t xml:space="preserve"> be made by J.P. Morgan, </w:t>
      </w:r>
      <w:r w:rsidRPr="00374AB8">
        <w:rPr>
          <w:rFonts w:cs="Arial"/>
          <w:color w:val="000000" w:themeColor="text1"/>
          <w:szCs w:val="20"/>
        </w:rPr>
        <w:t xml:space="preserve">Investec or any of their respective affiliates as to the accuracy, completeness, sufficiency of the information contained in this Announcement. </w:t>
      </w:r>
    </w:p>
    <w:p w:rsidR="00374AB8" w:rsidRPr="00374AB8" w:rsidP="00613CEC">
      <w:pPr>
        <w:keepNext/>
        <w:jc w:val="both"/>
        <w:rPr>
          <w:rFonts w:cs="Arial"/>
          <w:color w:val="000000" w:themeColor="text1"/>
          <w:szCs w:val="20"/>
        </w:rPr>
      </w:pPr>
      <w:r w:rsidRPr="00374AB8">
        <w:rPr>
          <w:rFonts w:cs="Arial"/>
          <w:color w:val="000000" w:themeColor="text1"/>
          <w:szCs w:val="20"/>
        </w:rPr>
        <w:t>The distribution of this Announcement and/or the offering of the Securities in certain</w:t>
      </w:r>
      <w:r w:rsidRPr="00374AB8">
        <w:rPr>
          <w:rFonts w:cs="Arial"/>
          <w:color w:val="000000" w:themeColor="text1"/>
          <w:szCs w:val="20"/>
        </w:rPr>
        <w:t xml:space="preserve"> jurisdictions may be restricted by law. No action has been taken by the Company or J.P. Morgan or Investec or any of their respective affiliates that would permit an offering of the Securities in any jurisdiction or result in the possession or distributio</w:t>
      </w:r>
      <w:r w:rsidRPr="00374AB8">
        <w:rPr>
          <w:rFonts w:cs="Arial"/>
          <w:color w:val="000000" w:themeColor="text1"/>
          <w:szCs w:val="20"/>
        </w:rPr>
        <w:t>n of this Announcement or any other offering or publicity material relating to Securities in any jurisdiction where action for that purpose is required.</w:t>
      </w:r>
    </w:p>
    <w:p w:rsidR="00374AB8" w:rsidRPr="00374AB8" w:rsidP="00613CEC">
      <w:pPr>
        <w:keepNext/>
        <w:jc w:val="both"/>
        <w:rPr>
          <w:rFonts w:cs="Arial"/>
          <w:color w:val="000000" w:themeColor="text1"/>
          <w:szCs w:val="20"/>
        </w:rPr>
      </w:pPr>
      <w:r w:rsidRPr="00374AB8">
        <w:rPr>
          <w:rFonts w:cs="Arial"/>
          <w:color w:val="000000" w:themeColor="text1"/>
          <w:szCs w:val="20"/>
        </w:rPr>
        <w:t xml:space="preserve">Persons distributing any part of this Announcement must satisfy themselves that it is lawful to do so. </w:t>
      </w:r>
      <w:r w:rsidRPr="00374AB8">
        <w:rPr>
          <w:rFonts w:cs="Arial"/>
          <w:color w:val="000000" w:themeColor="text1"/>
          <w:szCs w:val="20"/>
        </w:rPr>
        <w:t>Persons (including, without limitation, nominees and trustees) who have a contractual or other legal obligation to forward a copy of this Announcement should seek appropriate advice before taking any such action. Persons into whose possession this Announce</w:t>
      </w:r>
      <w:r w:rsidRPr="00374AB8">
        <w:rPr>
          <w:rFonts w:cs="Arial"/>
          <w:color w:val="000000" w:themeColor="text1"/>
          <w:szCs w:val="20"/>
        </w:rPr>
        <w:t>ment comes are required by the Company, J.P. Morgan and Investec to inform themselves about, and to observe, such restrictions.</w:t>
      </w:r>
    </w:p>
    <w:p w:rsidR="00374AB8" w:rsidRPr="00374AB8" w:rsidP="00613CEC">
      <w:pPr>
        <w:keepNext/>
        <w:jc w:val="both"/>
        <w:rPr>
          <w:rFonts w:cs="Arial"/>
          <w:color w:val="000000" w:themeColor="text1"/>
          <w:szCs w:val="20"/>
        </w:rPr>
      </w:pPr>
      <w:r w:rsidRPr="00374AB8">
        <w:rPr>
          <w:rFonts w:cs="Arial"/>
          <w:color w:val="000000" w:themeColor="text1"/>
          <w:szCs w:val="20"/>
        </w:rPr>
        <w:t xml:space="preserve">This Announcement contains (or may contain) certain forward-looking statements with respect to certain of the Company's current </w:t>
      </w:r>
      <w:r w:rsidRPr="00374AB8">
        <w:rPr>
          <w:rFonts w:cs="Arial"/>
          <w:color w:val="000000" w:themeColor="text1"/>
          <w:szCs w:val="20"/>
        </w:rPr>
        <w:t>expectations and projections about future events. These statements, which sometimes use words such as "aim", "anticipate", "believe", "intend", "plan", "estimate", "expect" and words of similar meaning, reflect the directors' beliefs and expectations and i</w:t>
      </w:r>
      <w:r w:rsidRPr="00374AB8">
        <w:rPr>
          <w:rFonts w:cs="Arial"/>
          <w:color w:val="000000" w:themeColor="text1"/>
          <w:szCs w:val="20"/>
        </w:rPr>
        <w:t>nvolve a number of risks, uncertainties and assumptions which may occur in the future, are beyond the Company's control and could cause actual results and performance to differ materially from any expected future results or performance expressed or implied</w:t>
      </w:r>
      <w:r w:rsidRPr="00374AB8">
        <w:rPr>
          <w:rFonts w:cs="Arial"/>
          <w:color w:val="000000" w:themeColor="text1"/>
          <w:szCs w:val="20"/>
        </w:rPr>
        <w:t xml:space="preserve"> by the forward-looking statement. Statements contained in this Announcement regarding past trends or activities should not be taken as a representation that such trends or activities will continue in the future. The information contained in this Announcem</w:t>
      </w:r>
      <w:r w:rsidRPr="00374AB8">
        <w:rPr>
          <w:rFonts w:cs="Arial"/>
          <w:color w:val="000000" w:themeColor="text1"/>
          <w:szCs w:val="20"/>
        </w:rPr>
        <w:t>ent is subject to change without notice and, except as required by applicable law, the Company does not assume any responsibility or obligation to update publicly or review any of the forward-looking statements contained in it, nor do they intend to. You s</w:t>
      </w:r>
      <w:r w:rsidRPr="00374AB8">
        <w:rPr>
          <w:rFonts w:cs="Arial"/>
          <w:color w:val="000000" w:themeColor="text1"/>
          <w:szCs w:val="20"/>
        </w:rPr>
        <w:t xml:space="preserve">hould not place undue reliance on forward-looking statements, which speak only as of the date of this Announcement. No statement in this Announcement is or is intended to be a profit forecast or profit estimate or to imply that the earnings of the Company </w:t>
      </w:r>
      <w:r w:rsidRPr="00374AB8">
        <w:rPr>
          <w:rFonts w:cs="Arial"/>
          <w:color w:val="000000" w:themeColor="text1"/>
          <w:szCs w:val="20"/>
        </w:rPr>
        <w:t xml:space="preserve">for the current or future financial years will necessarily match or exceed the historical or published earnings of the Company. As a result of these risks, uncertainties and assumptions, </w:t>
      </w:r>
      <w:r w:rsidRPr="00374AB8">
        <w:rPr>
          <w:rFonts w:cs="Arial"/>
          <w:color w:val="000000" w:themeColor="text1"/>
          <w:szCs w:val="20"/>
        </w:rPr>
        <w:t>the recipient should not place undue reliance on these forward-lookin</w:t>
      </w:r>
      <w:r w:rsidRPr="00374AB8">
        <w:rPr>
          <w:rFonts w:cs="Arial"/>
          <w:color w:val="000000" w:themeColor="text1"/>
          <w:szCs w:val="20"/>
        </w:rPr>
        <w:t>g statements as a prediction of actual results or otherwise.</w:t>
      </w:r>
    </w:p>
    <w:p w:rsidR="00374AB8" w:rsidRPr="00374AB8" w:rsidP="00613CEC">
      <w:pPr>
        <w:keepNext/>
        <w:jc w:val="both"/>
        <w:rPr>
          <w:rFonts w:cs="Arial"/>
          <w:color w:val="000000" w:themeColor="text1"/>
          <w:szCs w:val="20"/>
        </w:rPr>
      </w:pPr>
      <w:r w:rsidRPr="00374AB8">
        <w:rPr>
          <w:rFonts w:cs="Arial"/>
          <w:color w:val="000000" w:themeColor="text1"/>
          <w:szCs w:val="20"/>
        </w:rPr>
        <w:t>This Announcement does not identify or suggest, or purport to identify or suggest, the risks (direct or indirect) that may be associated with an investment in the Securities. Any investment decis</w:t>
      </w:r>
      <w:r w:rsidRPr="00374AB8">
        <w:rPr>
          <w:rFonts w:cs="Arial"/>
          <w:color w:val="000000" w:themeColor="text1"/>
          <w:szCs w:val="20"/>
        </w:rPr>
        <w:t xml:space="preserve">ion to buy Securities in the </w:t>
      </w:r>
      <w:r>
        <w:rPr>
          <w:rFonts w:cs="Arial"/>
          <w:color w:val="000000" w:themeColor="text1"/>
          <w:szCs w:val="20"/>
        </w:rPr>
        <w:t>Capital Raising</w:t>
      </w:r>
      <w:r w:rsidRPr="00374AB8">
        <w:rPr>
          <w:rFonts w:cs="Arial"/>
          <w:color w:val="000000" w:themeColor="text1"/>
          <w:szCs w:val="20"/>
        </w:rPr>
        <w:t xml:space="preserve"> must be made solely on the basis of publicly available information, which has not been independently verified by J.P. Morgan or Investec.</w:t>
      </w:r>
    </w:p>
    <w:p w:rsidR="00374AB8" w:rsidRPr="00374AB8" w:rsidP="00613CEC">
      <w:pPr>
        <w:keepNext/>
        <w:jc w:val="both"/>
        <w:rPr>
          <w:rFonts w:cs="Arial"/>
          <w:color w:val="000000" w:themeColor="text1"/>
          <w:szCs w:val="20"/>
        </w:rPr>
      </w:pPr>
      <w:r w:rsidRPr="00374AB8">
        <w:rPr>
          <w:rFonts w:cs="Arial"/>
          <w:color w:val="000000" w:themeColor="text1"/>
          <w:szCs w:val="20"/>
        </w:rPr>
        <w:t xml:space="preserve">The information in this Announcement may not be forwarded or distributed </w:t>
      </w:r>
      <w:r w:rsidRPr="00374AB8">
        <w:rPr>
          <w:rFonts w:cs="Arial"/>
          <w:color w:val="000000" w:themeColor="text1"/>
          <w:szCs w:val="20"/>
        </w:rPr>
        <w:t>to any other person and may not be reproduced in any manner whatsoever. Any forwarding, distribution, reproduction or disclosure of this information in whole or in part is unauthorised. Failure to comply with this directive may result in a violation of the</w:t>
      </w:r>
      <w:r w:rsidRPr="00374AB8">
        <w:rPr>
          <w:rFonts w:cs="Arial"/>
          <w:color w:val="000000" w:themeColor="text1"/>
          <w:szCs w:val="20"/>
        </w:rPr>
        <w:t xml:space="preserve"> Securities Act or the applicable laws of other jurisdictions.</w:t>
      </w:r>
    </w:p>
    <w:p w:rsidR="00374AB8" w:rsidRPr="00374AB8" w:rsidP="00613CEC">
      <w:pPr>
        <w:keepNext/>
        <w:jc w:val="both"/>
        <w:rPr>
          <w:rFonts w:cs="Arial"/>
          <w:color w:val="000000" w:themeColor="text1"/>
          <w:szCs w:val="20"/>
        </w:rPr>
      </w:pPr>
      <w:r w:rsidRPr="00374AB8">
        <w:rPr>
          <w:rFonts w:cs="Arial"/>
          <w:color w:val="000000" w:themeColor="text1"/>
          <w:szCs w:val="20"/>
        </w:rPr>
        <w:t xml:space="preserve">This Announcement does not constitute a recommendation concerning any investor's options with respect to the </w:t>
      </w:r>
      <w:r>
        <w:rPr>
          <w:rFonts w:cs="Arial"/>
          <w:color w:val="000000" w:themeColor="text1"/>
          <w:szCs w:val="20"/>
        </w:rPr>
        <w:t>Capital Raising</w:t>
      </w:r>
      <w:r w:rsidRPr="00374AB8">
        <w:rPr>
          <w:rFonts w:cs="Arial"/>
          <w:color w:val="000000" w:themeColor="text1"/>
          <w:szCs w:val="20"/>
        </w:rPr>
        <w:t xml:space="preserve">. Any decision to participate in the </w:t>
      </w:r>
      <w:r>
        <w:rPr>
          <w:rFonts w:cs="Arial"/>
          <w:color w:val="000000" w:themeColor="text1"/>
          <w:szCs w:val="20"/>
        </w:rPr>
        <w:t>Capital Raising</w:t>
      </w:r>
      <w:r w:rsidRPr="00374AB8">
        <w:rPr>
          <w:rFonts w:cs="Arial"/>
          <w:color w:val="000000" w:themeColor="text1"/>
          <w:szCs w:val="20"/>
        </w:rPr>
        <w:t xml:space="preserve"> must be made sol</w:t>
      </w:r>
      <w:r w:rsidRPr="00374AB8">
        <w:rPr>
          <w:rFonts w:cs="Arial"/>
          <w:color w:val="000000" w:themeColor="text1"/>
          <w:szCs w:val="20"/>
        </w:rPr>
        <w:t>ely on the</w:t>
      </w:r>
      <w:r>
        <w:rPr>
          <w:rFonts w:cs="Arial"/>
          <w:color w:val="000000" w:themeColor="text1"/>
          <w:szCs w:val="20"/>
        </w:rPr>
        <w:t xml:space="preserve"> basis of the Prospectus </w:t>
      </w:r>
      <w:r w:rsidRPr="00374AB8">
        <w:rPr>
          <w:rFonts w:cs="Arial"/>
          <w:color w:val="000000" w:themeColor="text1"/>
          <w:szCs w:val="20"/>
        </w:rPr>
        <w:t>published by the Company. The price and value of securities can go down as well as up. Past performance is not a guide to future per</w:t>
      </w:r>
      <w:r>
        <w:rPr>
          <w:rFonts w:cs="Arial"/>
          <w:color w:val="000000" w:themeColor="text1"/>
          <w:szCs w:val="20"/>
        </w:rPr>
        <w:t>formance. The contents of this A</w:t>
      </w:r>
      <w:r w:rsidRPr="00374AB8">
        <w:rPr>
          <w:rFonts w:cs="Arial"/>
          <w:color w:val="000000" w:themeColor="text1"/>
          <w:szCs w:val="20"/>
        </w:rPr>
        <w:t>nnouncement are not to be construed as legal, business, f</w:t>
      </w:r>
      <w:r w:rsidRPr="00374AB8">
        <w:rPr>
          <w:rFonts w:cs="Arial"/>
          <w:color w:val="000000" w:themeColor="text1"/>
          <w:szCs w:val="20"/>
        </w:rPr>
        <w:t>inancial or tax advice. Each shareholder or prospective investor should consult his, her or its own legal adviser, business adviser, financial adviser or tax adviser for legal, financial, business or tax advice. Neither the content of the Company's website</w:t>
      </w:r>
      <w:r w:rsidRPr="00374AB8">
        <w:rPr>
          <w:rFonts w:cs="Arial"/>
          <w:color w:val="000000" w:themeColor="text1"/>
          <w:szCs w:val="20"/>
        </w:rPr>
        <w:t xml:space="preserve"> nor any website accessible by hyperlinks on the Company's website is incorporated in, or forms part of, this Announcement.</w:t>
      </w:r>
    </w:p>
    <w:p w:rsidR="00374AB8" w:rsidRPr="00613CEC" w:rsidP="00613CEC">
      <w:pPr>
        <w:keepNext/>
        <w:jc w:val="both"/>
        <w:rPr>
          <w:rFonts w:cs="Arial"/>
          <w:b/>
          <w:color w:val="000000" w:themeColor="text1"/>
          <w:szCs w:val="20"/>
        </w:rPr>
      </w:pPr>
      <w:r w:rsidRPr="00613CEC">
        <w:rPr>
          <w:rFonts w:cs="Arial"/>
          <w:b/>
          <w:color w:val="000000" w:themeColor="text1"/>
          <w:szCs w:val="20"/>
        </w:rPr>
        <w:t>Information to Distributors</w:t>
      </w:r>
    </w:p>
    <w:p w:rsidR="00EE05E5" w:rsidP="00613CEC">
      <w:pPr>
        <w:keepNext/>
        <w:jc w:val="both"/>
        <w:rPr>
          <w:rFonts w:cs="Arial"/>
          <w:color w:val="000000" w:themeColor="text1"/>
          <w:szCs w:val="20"/>
        </w:rPr>
      </w:pPr>
      <w:r w:rsidRPr="00EE05E5">
        <w:rPr>
          <w:rFonts w:cs="Arial"/>
          <w:color w:val="000000" w:themeColor="text1"/>
          <w:szCs w:val="20"/>
        </w:rPr>
        <w:t>Solely for the purposes of the product governance requirements contained within</w:t>
      </w:r>
      <w:r>
        <w:rPr>
          <w:rFonts w:cs="Arial"/>
          <w:color w:val="000000" w:themeColor="text1"/>
          <w:szCs w:val="20"/>
        </w:rPr>
        <w:t xml:space="preserve"> of Chapter 3 of the FCA </w:t>
      </w:r>
      <w:r>
        <w:rPr>
          <w:rFonts w:cs="Arial"/>
          <w:color w:val="000000" w:themeColor="text1"/>
          <w:szCs w:val="20"/>
        </w:rPr>
        <w:t>Handbook Production Intervention and Product Governance Sourcebook (the “</w:t>
      </w:r>
      <w:r w:rsidRPr="005C44D6">
        <w:rPr>
          <w:rFonts w:cs="Arial"/>
          <w:b/>
          <w:bCs/>
          <w:color w:val="000000" w:themeColor="text1"/>
          <w:szCs w:val="20"/>
        </w:rPr>
        <w:t>UK</w:t>
      </w:r>
      <w:r>
        <w:rPr>
          <w:rFonts w:cs="Arial"/>
          <w:color w:val="000000" w:themeColor="text1"/>
          <w:szCs w:val="20"/>
        </w:rPr>
        <w:t xml:space="preserve"> </w:t>
      </w:r>
      <w:r w:rsidRPr="00EE05E5">
        <w:rPr>
          <w:rFonts w:cs="Arial"/>
          <w:b/>
          <w:color w:val="000000" w:themeColor="text1"/>
          <w:szCs w:val="20"/>
        </w:rPr>
        <w:t>Product Governance Requirements</w:t>
      </w:r>
      <w:r w:rsidRPr="00EE05E5">
        <w:rPr>
          <w:rFonts w:cs="Arial"/>
          <w:color w:val="000000" w:themeColor="text1"/>
          <w:szCs w:val="20"/>
        </w:rPr>
        <w:t>”), and disclaiming all and any liability, whether arising in tort, contract or otherwise, which any “manufacturer” (for the purposes of the</w:t>
      </w:r>
      <w:r>
        <w:rPr>
          <w:rFonts w:cs="Arial"/>
          <w:color w:val="000000" w:themeColor="text1"/>
          <w:szCs w:val="20"/>
        </w:rPr>
        <w:t xml:space="preserve"> UK</w:t>
      </w:r>
      <w:r w:rsidRPr="00EE05E5">
        <w:rPr>
          <w:rFonts w:cs="Arial"/>
          <w:color w:val="000000" w:themeColor="text1"/>
          <w:szCs w:val="20"/>
        </w:rPr>
        <w:t xml:space="preserve"> Product Governance Requirements) may otherwise have with respect thereto, the New Ordinary Shares have been subject to a product approval process, which has determined that such securities are: (i) compatible with an end target market of investors who mee</w:t>
      </w:r>
      <w:r w:rsidRPr="00EE05E5">
        <w:rPr>
          <w:rFonts w:cs="Arial"/>
          <w:color w:val="000000" w:themeColor="text1"/>
          <w:szCs w:val="20"/>
        </w:rPr>
        <w:t xml:space="preserve">t the criteria of retail </w:t>
      </w:r>
      <w:r>
        <w:rPr>
          <w:rFonts w:cs="Arial"/>
          <w:color w:val="000000" w:themeColor="text1"/>
          <w:szCs w:val="20"/>
        </w:rPr>
        <w:t xml:space="preserve">investors and investors who meet the criteria of </w:t>
      </w:r>
      <w:r w:rsidRPr="00EE05E5">
        <w:rPr>
          <w:rFonts w:cs="Arial"/>
          <w:color w:val="000000" w:themeColor="text1"/>
          <w:szCs w:val="20"/>
        </w:rPr>
        <w:t xml:space="preserve">professional clients and eligible counterparties, each as defined in </w:t>
      </w:r>
      <w:r>
        <w:rPr>
          <w:rFonts w:cs="Arial"/>
          <w:color w:val="000000" w:themeColor="text1"/>
          <w:szCs w:val="20"/>
        </w:rPr>
        <w:t>paragraph 3 of the FCA Handbook Conduct of Business Sourcebook</w:t>
      </w:r>
      <w:r w:rsidRPr="00EE05E5">
        <w:rPr>
          <w:rFonts w:cs="Arial"/>
          <w:color w:val="000000" w:themeColor="text1"/>
          <w:szCs w:val="20"/>
        </w:rPr>
        <w:t>; and (ii) eligible for distribution through all di</w:t>
      </w:r>
      <w:r w:rsidRPr="00EE05E5">
        <w:rPr>
          <w:rFonts w:cs="Arial"/>
          <w:color w:val="000000" w:themeColor="text1"/>
          <w:szCs w:val="20"/>
        </w:rPr>
        <w:t>stribution channels (the “</w:t>
      </w:r>
      <w:r w:rsidRPr="00EE05E5">
        <w:rPr>
          <w:rFonts w:cs="Arial"/>
          <w:b/>
          <w:color w:val="000000" w:themeColor="text1"/>
          <w:szCs w:val="20"/>
        </w:rPr>
        <w:t>Target Market Assessment</w:t>
      </w:r>
      <w:r w:rsidRPr="00EE05E5">
        <w:rPr>
          <w:rFonts w:cs="Arial"/>
          <w:color w:val="000000" w:themeColor="text1"/>
          <w:szCs w:val="20"/>
        </w:rPr>
        <w:t>”).</w:t>
      </w:r>
      <w:r>
        <w:rPr>
          <w:rFonts w:cs="Arial"/>
          <w:color w:val="000000" w:themeColor="text1"/>
          <w:szCs w:val="20"/>
        </w:rPr>
        <w:t xml:space="preserve"> </w:t>
      </w:r>
      <w:r w:rsidRPr="00EE05E5">
        <w:rPr>
          <w:rFonts w:cs="Arial"/>
          <w:color w:val="000000" w:themeColor="text1"/>
          <w:szCs w:val="20"/>
        </w:rPr>
        <w:t>Notwithstanding the Target Market Assessment, distributors</w:t>
      </w:r>
      <w:r>
        <w:rPr>
          <w:rFonts w:cs="Arial"/>
          <w:color w:val="000000" w:themeColor="text1"/>
          <w:szCs w:val="20"/>
        </w:rPr>
        <w:t xml:space="preserve"> (for the purposes </w:t>
      </w:r>
      <w:r>
        <w:rPr>
          <w:rFonts w:cs="Arial"/>
          <w:color w:val="000000" w:themeColor="text1"/>
          <w:szCs w:val="20"/>
        </w:rPr>
        <w:t>of UK Product Governance Requirements)</w:t>
      </w:r>
      <w:r w:rsidRPr="00EE05E5">
        <w:rPr>
          <w:rFonts w:cs="Arial"/>
          <w:color w:val="000000" w:themeColor="text1"/>
          <w:szCs w:val="20"/>
        </w:rPr>
        <w:t xml:space="preserve"> should note that: (a) the price of the New Ordinary Shares may decline and investors c</w:t>
      </w:r>
      <w:r w:rsidRPr="00EE05E5">
        <w:rPr>
          <w:rFonts w:cs="Arial"/>
          <w:color w:val="000000" w:themeColor="text1"/>
          <w:szCs w:val="20"/>
        </w:rPr>
        <w:t>ould lose all or part of their investment; (b) the New Ordinary Shares offer no guaranteed income and no capital protection; and (c) an investment in the New Ordinary Shares is compatible only with investors who do not need a guaranteed income or capital p</w:t>
      </w:r>
      <w:r w:rsidRPr="00EE05E5">
        <w:rPr>
          <w:rFonts w:cs="Arial"/>
          <w:color w:val="000000" w:themeColor="text1"/>
          <w:szCs w:val="20"/>
        </w:rPr>
        <w:t>rotection, who (either alone or in conjunction with an appropriate financial or other adviser) are capable of evaluati</w:t>
      </w:r>
      <w:r>
        <w:rPr>
          <w:rFonts w:cs="Arial"/>
          <w:color w:val="000000" w:themeColor="text1"/>
          <w:szCs w:val="20"/>
        </w:rPr>
        <w:t>ng</w:t>
      </w:r>
      <w:r w:rsidRPr="00EE05E5">
        <w:rPr>
          <w:rFonts w:cs="Arial"/>
          <w:color w:val="000000" w:themeColor="text1"/>
          <w:szCs w:val="20"/>
        </w:rPr>
        <w:t xml:space="preserve"> the merits and risks of such an investment and who have sufficient resources to be able to bear any losses that may result therefrom. T</w:t>
      </w:r>
      <w:r w:rsidRPr="00EE05E5">
        <w:rPr>
          <w:rFonts w:cs="Arial"/>
          <w:color w:val="000000" w:themeColor="text1"/>
          <w:szCs w:val="20"/>
        </w:rPr>
        <w:t>he Target Market Assessment is without prejudice to the requirements of any contractual, legal or regulatory selling restrictions in relation to the Capital Raising. Furthermore, it is noted that, notwithstanding the Target Market Assessment, the Joint Boo</w:t>
      </w:r>
      <w:r w:rsidRPr="00EE05E5">
        <w:rPr>
          <w:rFonts w:cs="Arial"/>
          <w:color w:val="000000" w:themeColor="text1"/>
          <w:szCs w:val="20"/>
        </w:rPr>
        <w:t>krunners will only procure investors who meet the criteria of professional clients and eligible counterparties.</w:t>
      </w:r>
    </w:p>
    <w:p w:rsidR="00EE05E5" w:rsidP="00613CEC">
      <w:pPr>
        <w:keepNext/>
        <w:jc w:val="both"/>
        <w:rPr>
          <w:rFonts w:cs="Arial"/>
          <w:color w:val="000000" w:themeColor="text1"/>
          <w:szCs w:val="20"/>
        </w:rPr>
      </w:pPr>
      <w:r w:rsidRPr="00EE05E5">
        <w:rPr>
          <w:rFonts w:cs="Arial"/>
          <w:color w:val="000000" w:themeColor="text1"/>
          <w:szCs w:val="20"/>
        </w:rPr>
        <w:t>For the avoidance of doubt, the Target Market Assessment does not constitute: (a) an assessment of suitability or appropriateness for the purpos</w:t>
      </w:r>
      <w:r w:rsidRPr="00EE05E5">
        <w:rPr>
          <w:rFonts w:cs="Arial"/>
          <w:color w:val="000000" w:themeColor="text1"/>
          <w:szCs w:val="20"/>
        </w:rPr>
        <w:t xml:space="preserve">es of </w:t>
      </w:r>
      <w:r>
        <w:rPr>
          <w:rFonts w:cs="Arial"/>
          <w:color w:val="000000" w:themeColor="text1"/>
          <w:szCs w:val="20"/>
        </w:rPr>
        <w:t>Chapter 9A or 10A respectively of the FCA Handbook Conduct of Business Sourcebook</w:t>
      </w:r>
      <w:r w:rsidRPr="00EE05E5">
        <w:rPr>
          <w:rFonts w:cs="Arial"/>
          <w:color w:val="000000" w:themeColor="text1"/>
          <w:szCs w:val="20"/>
        </w:rPr>
        <w:t>; or (b) a recommendation to any investor or group of investors to invest in, or purchase, or take any other action whatsoever with respect to the New Ordinary Shares.</w:t>
      </w:r>
    </w:p>
    <w:p w:rsidR="00374B9F" w:rsidRPr="00374B9F" w:rsidP="00613CEC">
      <w:pPr>
        <w:keepNext/>
        <w:jc w:val="both"/>
      </w:pPr>
      <w:r w:rsidRPr="00374AB8">
        <w:rPr>
          <w:rFonts w:cs="Arial"/>
          <w:color w:val="000000" w:themeColor="text1"/>
          <w:szCs w:val="20"/>
        </w:rPr>
        <w:t>E</w:t>
      </w:r>
      <w:r w:rsidRPr="00374AB8">
        <w:rPr>
          <w:rFonts w:cs="Arial"/>
          <w:color w:val="000000" w:themeColor="text1"/>
          <w:szCs w:val="20"/>
        </w:rPr>
        <w:t>ach distributor is responsible for undertaking its own target market assessment in respect of the New Ordinary Shares and determining appropriate distribution channels.</w:t>
      </w:r>
    </w:p>
    <w:sectPr w:rsidSect="00C41A4C">
      <w:headerReference w:type="even" r:id="rId4"/>
      <w:headerReference w:type="default" r:id="rId5"/>
      <w:footerReference w:type="even" r:id="rId6"/>
      <w:footerReference w:type="default" r:id="rId7"/>
      <w:headerReference w:type="first" r:id="rId8"/>
      <w:footerReference w:type="first" r:id="rId9"/>
      <w:pgSz w:w="11906" w:h="16838" w:code="9"/>
      <w:pgMar w:top="1418" w:right="1701" w:bottom="1418" w:left="1701" w:header="720" w:footer="709" w:gutter="0"/>
      <w:paperSrc w:first="15" w:other="15"/>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1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6A7C">
    <w:pPr>
      <w:pStyle w:val="Footer"/>
    </w:pPr>
  </w:p>
  <w:p w:rsidR="006825EE" w:rsidP="00376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6A7C">
    <w:pPr>
      <w:pStyle w:val="Footer"/>
    </w:pPr>
  </w:p>
  <w:p w:rsidR="006825EE" w:rsidP="00376A7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1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1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DD1" w:rsidRPr="00AF3ED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20C6774"/>
    <w:lvl w:ilvl="0">
      <w:start w:val="1"/>
      <w:numFmt w:val="decimal"/>
      <w:lvlText w:val="%1."/>
      <w:lvlJc w:val="left"/>
      <w:pPr>
        <w:tabs>
          <w:tab w:val="num" w:pos="1492"/>
        </w:tabs>
        <w:ind w:left="1492" w:hanging="360"/>
      </w:pPr>
    </w:lvl>
  </w:abstractNum>
  <w:abstractNum w:abstractNumId="1">
    <w:nsid w:val="FFFFFF7D"/>
    <w:multiLevelType w:val="singleLevel"/>
    <w:tmpl w:val="69A8F240"/>
    <w:lvl w:ilvl="0">
      <w:start w:val="1"/>
      <w:numFmt w:val="decimal"/>
      <w:lvlText w:val="%1."/>
      <w:lvlJc w:val="left"/>
      <w:pPr>
        <w:tabs>
          <w:tab w:val="num" w:pos="1209"/>
        </w:tabs>
        <w:ind w:left="1209" w:hanging="360"/>
      </w:pPr>
    </w:lvl>
  </w:abstractNum>
  <w:abstractNum w:abstractNumId="2">
    <w:nsid w:val="FFFFFF7E"/>
    <w:multiLevelType w:val="singleLevel"/>
    <w:tmpl w:val="9B78C76E"/>
    <w:lvl w:ilvl="0">
      <w:start w:val="1"/>
      <w:numFmt w:val="decimal"/>
      <w:lvlText w:val="%1."/>
      <w:lvlJc w:val="left"/>
      <w:pPr>
        <w:tabs>
          <w:tab w:val="num" w:pos="926"/>
        </w:tabs>
        <w:ind w:left="926" w:hanging="360"/>
      </w:pPr>
    </w:lvl>
  </w:abstractNum>
  <w:abstractNum w:abstractNumId="3">
    <w:nsid w:val="FFFFFF7F"/>
    <w:multiLevelType w:val="singleLevel"/>
    <w:tmpl w:val="D364470A"/>
    <w:lvl w:ilvl="0">
      <w:start w:val="1"/>
      <w:numFmt w:val="decimal"/>
      <w:lvlText w:val="%1."/>
      <w:lvlJc w:val="left"/>
      <w:pPr>
        <w:tabs>
          <w:tab w:val="num" w:pos="643"/>
        </w:tabs>
        <w:ind w:left="643" w:hanging="360"/>
      </w:pPr>
    </w:lvl>
  </w:abstractNum>
  <w:abstractNum w:abstractNumId="4">
    <w:nsid w:val="FFFFFF80"/>
    <w:multiLevelType w:val="singleLevel"/>
    <w:tmpl w:val="A7E2F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CC3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2841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CEC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883EBA"/>
    <w:lvl w:ilvl="0">
      <w:start w:val="1"/>
      <w:numFmt w:val="decimal"/>
      <w:lvlText w:val="%1."/>
      <w:lvlJc w:val="left"/>
      <w:pPr>
        <w:tabs>
          <w:tab w:val="num" w:pos="360"/>
        </w:tabs>
        <w:ind w:left="360" w:hanging="360"/>
      </w:pPr>
    </w:lvl>
  </w:abstractNum>
  <w:abstractNum w:abstractNumId="9">
    <w:nsid w:val="FFFFFF89"/>
    <w:multiLevelType w:val="singleLevel"/>
    <w:tmpl w:val="7E6A1F8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426CA946"/>
    <w:lvl w:ilvl="0">
      <w:start w:val="1"/>
      <w:numFmt w:val="decimal"/>
      <w:lvlText w:val="%1."/>
      <w:legacy w:legacy="1" w:legacySpace="0" w:legacyIndent="708"/>
      <w:lvlJc w:val="left"/>
      <w:pPr>
        <w:ind w:left="709"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upperLetter"/>
      <w:lvlText w:val="(%4)"/>
      <w:legacy w:legacy="1" w:legacySpace="0" w:legacyIndent="708"/>
      <w:lvlJc w:val="left"/>
      <w:pPr>
        <w:ind w:left="2835" w:hanging="708"/>
      </w:pPr>
    </w:lvl>
    <w:lvl w:ilvl="4">
      <w:start w:val="1"/>
      <w:numFmt w:val="decimal"/>
      <w:lvlText w:val="(%5)"/>
      <w:legacy w:legacy="1" w:legacySpace="0" w:legacyIndent="708"/>
      <w:lvlJc w:val="left"/>
      <w:pPr>
        <w:ind w:left="3544" w:hanging="708"/>
      </w:pPr>
    </w:lvl>
    <w:lvl w:ilvl="5">
      <w:start w:val="1"/>
      <w:numFmt w:val="upperRoman"/>
      <w:lvlText w:val="(%6)"/>
      <w:legacy w:legacy="1" w:legacySpace="0" w:legacyIndent="708"/>
      <w:lvlJc w:val="left"/>
      <w:pPr>
        <w:ind w:left="4253" w:hanging="708"/>
      </w:pPr>
    </w:lvl>
    <w:lvl w:ilvl="6">
      <w:start w:val="1"/>
      <w:numFmt w:val="upperLetter"/>
      <w:lvlText w:val="(%7)"/>
      <w:legacy w:legacy="1" w:legacySpace="0" w:legacyIndent="708"/>
      <w:lvlJc w:val="left"/>
      <w:pPr>
        <w:ind w:left="4962" w:hanging="708"/>
      </w:pPr>
    </w:lvl>
    <w:lvl w:ilvl="7">
      <w:start w:val="1"/>
      <w:numFmt w:val="decimal"/>
      <w:lvlText w:val="(%8)"/>
      <w:legacy w:legacy="1" w:legacySpace="0" w:legacyIndent="708"/>
      <w:lvlJc w:val="left"/>
      <w:pPr>
        <w:ind w:left="5670" w:hanging="708"/>
      </w:pPr>
    </w:lvl>
    <w:lvl w:ilvl="8">
      <w:start w:val="1"/>
      <w:numFmt w:val="lowerRoman"/>
      <w:lvlText w:val="(%9)"/>
      <w:legacy w:legacy="1" w:legacySpace="0" w:legacyIndent="708"/>
      <w:lvlJc w:val="left"/>
      <w:pPr>
        <w:ind w:left="6379" w:hanging="708"/>
      </w:pPr>
    </w:lvl>
  </w:abstractNum>
  <w:abstractNum w:abstractNumId="11">
    <w:nsid w:val="05861159"/>
    <w:multiLevelType w:val="multilevel"/>
    <w:tmpl w:val="0E4CBBB8"/>
    <w:styleLink w:val="Bullet"/>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o"/>
      <w:lvlJc w:val="left"/>
      <w:pPr>
        <w:tabs>
          <w:tab w:val="num" w:pos="1418"/>
        </w:tabs>
        <w:ind w:left="1418" w:hanging="709"/>
      </w:pPr>
      <w:rPr>
        <w:rFonts w:ascii="Courier New" w:hAnsi="Courier New" w:hint="default"/>
      </w:rPr>
    </w:lvl>
    <w:lvl w:ilvl="2">
      <w:start w:val="1"/>
      <w:numFmt w:val="bullet"/>
      <w:pStyle w:val="ListBullet3"/>
      <w:lvlText w:val=""/>
      <w:lvlJc w:val="left"/>
      <w:pPr>
        <w:tabs>
          <w:tab w:val="num" w:pos="2126"/>
        </w:tabs>
        <w:ind w:left="2126" w:hanging="708"/>
      </w:pPr>
      <w:rPr>
        <w:rFonts w:ascii="Wingdings" w:hAnsi="Wingdings" w:hint="default"/>
      </w:rPr>
    </w:lvl>
    <w:lvl w:ilvl="3">
      <w:start w:val="1"/>
      <w:numFmt w:val="bullet"/>
      <w:pStyle w:val="ListBullet4"/>
      <w:lvlText w:val=""/>
      <w:lvlJc w:val="left"/>
      <w:pPr>
        <w:tabs>
          <w:tab w:val="num" w:pos="2835"/>
        </w:tabs>
        <w:ind w:left="2835" w:hanging="709"/>
      </w:pPr>
      <w:rPr>
        <w:rFonts w:ascii="Symbol" w:hAnsi="Symbol" w:hint="default"/>
      </w:rPr>
    </w:lvl>
    <w:lvl w:ilvl="4">
      <w:start w:val="1"/>
      <w:numFmt w:val="bullet"/>
      <w:pStyle w:val="ListBullet5"/>
      <w:lvlText w:val="o"/>
      <w:lvlJc w:val="left"/>
      <w:pPr>
        <w:tabs>
          <w:tab w:val="num" w:pos="3544"/>
        </w:tabs>
        <w:ind w:left="3544" w:hanging="709"/>
      </w:pPr>
      <w:rPr>
        <w:rFonts w:ascii="Courier New" w:hAnsi="Courier New" w:hint="default"/>
      </w:rPr>
    </w:lvl>
    <w:lvl w:ilvl="5">
      <w:start w:val="1"/>
      <w:numFmt w:val="bullet"/>
      <w:pStyle w:val="ListBullet6"/>
      <w:lvlText w:val=""/>
      <w:lvlJc w:val="left"/>
      <w:pPr>
        <w:tabs>
          <w:tab w:val="num" w:pos="4253"/>
        </w:tabs>
        <w:ind w:left="4253" w:hanging="709"/>
      </w:pPr>
      <w:rPr>
        <w:rFonts w:ascii="Wingdings" w:hAnsi="Wingdings" w:hint="default"/>
      </w:rPr>
    </w:lvl>
    <w:lvl w:ilvl="6">
      <w:start w:val="1"/>
      <w:numFmt w:val="bullet"/>
      <w:pStyle w:val="ListBullet7"/>
      <w:lvlText w:val=""/>
      <w:lvlJc w:val="left"/>
      <w:pPr>
        <w:tabs>
          <w:tab w:val="num" w:pos="4961"/>
        </w:tabs>
        <w:ind w:left="4961" w:hanging="708"/>
      </w:pPr>
      <w:rPr>
        <w:rFonts w:ascii="Symbol" w:hAnsi="Symbol" w:hint="default"/>
      </w:rPr>
    </w:lvl>
    <w:lvl w:ilvl="7">
      <w:start w:val="1"/>
      <w:numFmt w:val="bullet"/>
      <w:pStyle w:val="ListBullet8"/>
      <w:lvlText w:val="o"/>
      <w:lvlJc w:val="left"/>
      <w:pPr>
        <w:tabs>
          <w:tab w:val="num" w:pos="5670"/>
        </w:tabs>
        <w:ind w:left="5670" w:hanging="709"/>
      </w:pPr>
      <w:rPr>
        <w:rFonts w:ascii="Courier New" w:hAnsi="Courier New" w:hint="default"/>
      </w:rPr>
    </w:lvl>
    <w:lvl w:ilvl="8">
      <w:start w:val="1"/>
      <w:numFmt w:val="bullet"/>
      <w:pStyle w:val="ListBullet9"/>
      <w:lvlText w:val=""/>
      <w:lvlJc w:val="left"/>
      <w:pPr>
        <w:tabs>
          <w:tab w:val="num" w:pos="6379"/>
        </w:tabs>
        <w:ind w:left="6379" w:hanging="709"/>
      </w:pPr>
      <w:rPr>
        <w:rFonts w:ascii="Wingdings" w:hAnsi="Wingdings" w:hint="default"/>
      </w:rPr>
    </w:lvl>
  </w:abstractNum>
  <w:abstractNum w:abstractNumId="12">
    <w:nsid w:val="0DF94E0F"/>
    <w:multiLevelType w:val="multilevel"/>
    <w:tmpl w:val="0E4CBBB8"/>
    <w:numStyleLink w:val="Bulle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3">
    <w:nsid w:val="43944247"/>
    <w:multiLevelType w:val="multilevel"/>
    <w:tmpl w:val="BC5A545E"/>
    <w:lvl w:ilvl="0">
      <w:start w:val="1"/>
      <w:numFmt w:val="bullet"/>
      <w:lvlText w:val=""/>
      <w:lvlJc w:val="left"/>
      <w:pPr>
        <w:ind w:left="357" w:firstLine="0"/>
      </w:pPr>
      <w:rPr>
        <w:rFonts w:ascii="Symbol" w:hAnsi="Symbol" w:hint="default"/>
      </w:rPr>
    </w:lvl>
    <w:lvl w:ilvl="1">
      <w:start w:val="1"/>
      <w:numFmt w:val="bullet"/>
      <w:lvlText w:val="o"/>
      <w:lvlJc w:val="left"/>
      <w:pPr>
        <w:tabs>
          <w:tab w:val="num" w:pos="1077"/>
        </w:tabs>
        <w:ind w:left="714" w:firstLine="0"/>
      </w:pPr>
      <w:rPr>
        <w:rFonts w:ascii="Courier New" w:hAnsi="Courier New" w:hint="default"/>
      </w:rPr>
    </w:lvl>
    <w:lvl w:ilvl="2">
      <w:start w:val="1"/>
      <w:numFmt w:val="bullet"/>
      <w:lvlText w:val=""/>
      <w:lvlJc w:val="left"/>
      <w:pPr>
        <w:tabs>
          <w:tab w:val="num" w:pos="1797"/>
        </w:tabs>
        <w:ind w:left="1071" w:firstLine="0"/>
      </w:pPr>
      <w:rPr>
        <w:rFonts w:ascii="Wingdings" w:hAnsi="Wingdings" w:hint="default"/>
      </w:rPr>
    </w:lvl>
    <w:lvl w:ilvl="3">
      <w:start w:val="1"/>
      <w:numFmt w:val="bullet"/>
      <w:lvlText w:val=""/>
      <w:lvlJc w:val="left"/>
      <w:pPr>
        <w:tabs>
          <w:tab w:val="num" w:pos="2517"/>
        </w:tabs>
        <w:ind w:left="1428" w:firstLine="0"/>
      </w:pPr>
      <w:rPr>
        <w:rFonts w:ascii="Symbol" w:hAnsi="Symbol" w:hint="default"/>
      </w:rPr>
    </w:lvl>
    <w:lvl w:ilvl="4">
      <w:start w:val="1"/>
      <w:numFmt w:val="bullet"/>
      <w:lvlText w:val="o"/>
      <w:lvlJc w:val="left"/>
      <w:pPr>
        <w:tabs>
          <w:tab w:val="num" w:pos="3238"/>
        </w:tabs>
        <w:ind w:left="1785" w:firstLine="0"/>
      </w:pPr>
      <w:rPr>
        <w:rFonts w:ascii="Courier New" w:hAnsi="Courier New" w:hint="default"/>
      </w:rPr>
    </w:lvl>
    <w:lvl w:ilvl="5">
      <w:start w:val="1"/>
      <w:numFmt w:val="bullet"/>
      <w:lvlText w:val=""/>
      <w:lvlJc w:val="left"/>
      <w:pPr>
        <w:tabs>
          <w:tab w:val="num" w:pos="3958"/>
        </w:tabs>
        <w:ind w:left="2142" w:firstLine="0"/>
      </w:pPr>
      <w:rPr>
        <w:rFonts w:ascii="Wingdings" w:hAnsi="Wingdings" w:hint="default"/>
      </w:rPr>
    </w:lvl>
    <w:lvl w:ilvl="6">
      <w:start w:val="1"/>
      <w:numFmt w:val="bullet"/>
      <w:lvlText w:val=""/>
      <w:lvlJc w:val="left"/>
      <w:pPr>
        <w:tabs>
          <w:tab w:val="num" w:pos="4678"/>
        </w:tabs>
        <w:ind w:left="2499" w:firstLine="0"/>
      </w:pPr>
      <w:rPr>
        <w:rFonts w:ascii="Symbol" w:hAnsi="Symbol" w:hint="default"/>
      </w:rPr>
    </w:lvl>
    <w:lvl w:ilvl="7">
      <w:start w:val="1"/>
      <w:numFmt w:val="bullet"/>
      <w:lvlText w:val="o"/>
      <w:lvlJc w:val="left"/>
      <w:pPr>
        <w:tabs>
          <w:tab w:val="num" w:pos="5398"/>
        </w:tabs>
        <w:ind w:left="2856" w:firstLine="0"/>
      </w:pPr>
      <w:rPr>
        <w:rFonts w:ascii="Courier New" w:hAnsi="Courier New" w:hint="default"/>
      </w:rPr>
    </w:lvl>
    <w:lvl w:ilvl="8">
      <w:start w:val="1"/>
      <w:numFmt w:val="bullet"/>
      <w:lvlText w:val=""/>
      <w:lvlJc w:val="left"/>
      <w:pPr>
        <w:ind w:left="3213" w:firstLine="0"/>
      </w:pPr>
      <w:rPr>
        <w:rFonts w:ascii="Wingdings" w:hAnsi="Wingdings" w:hint="default"/>
      </w:rPr>
    </w:lvl>
  </w:abstractNum>
  <w:abstractNum w:abstractNumId="14">
    <w:nsid w:val="51C35966"/>
    <w:multiLevelType w:val="multilevel"/>
    <w:tmpl w:val="5232A246"/>
    <w:styleLink w:val="IndexNumbering"/>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70"/>
        </w:tabs>
        <w:ind w:left="5670" w:hanging="709"/>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2"/>
  </w:num>
  <w:num w:numId="32">
    <w:abstractNumId w:val="11"/>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 w:name="TMS_Template_ID" w:val="0"/>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AutoCompressPictures/>
  <w15:chartTrackingRefBased/>
  <w15:docId w15:val="{8124C00C-1BD8-441C-B9D9-569F8D11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6" w:unhideWhenUsed="1"/>
    <w:lsdException w:name="index 2" w:semiHidden="1" w:uiPriority="96" w:unhideWhenUsed="1"/>
    <w:lsdException w:name="index 3" w:semiHidden="1" w:uiPriority="96" w:unhideWhenUsed="1"/>
    <w:lsdException w:name="index 4" w:semiHidden="1" w:uiPriority="96" w:unhideWhenUsed="1"/>
    <w:lsdException w:name="index 5" w:semiHidden="1" w:uiPriority="96" w:unhideWhenUsed="1"/>
    <w:lsdException w:name="index 6" w:semiHidden="1" w:uiPriority="96" w:unhideWhenUsed="1"/>
    <w:lsdException w:name="index 7" w:semiHidden="1" w:uiPriority="96" w:unhideWhenUsed="1"/>
    <w:lsdException w:name="index 8" w:semiHidden="1" w:uiPriority="96" w:unhideWhenUsed="1"/>
    <w:lsdException w:name="index 9" w:semiHidden="1" w:uiPriority="96"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79" w:unhideWhenUsed="1" w:qFormat="1"/>
    <w:lsdException w:name="footer" w:semiHidden="1" w:uiPriority="79" w:unhideWhenUsed="1" w:qFormat="1"/>
    <w:lsdException w:name="index heading" w:semiHidden="1" w:uiPriority="96" w:unhideWhenUsed="1"/>
    <w:lsdException w:name="caption" w:semiHidden="1" w:uiPriority="59"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5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B9F"/>
    <w:pPr>
      <w:spacing w:after="280" w:line="280" w:lineRule="atLeast"/>
    </w:pPr>
    <w:rPr>
      <w:rFonts w:ascii="Arial" w:hAnsi="Arial"/>
      <w:kern w:val="16"/>
      <w:sz w:val="20"/>
    </w:rPr>
  </w:style>
  <w:style w:type="paragraph" w:styleId="Heading1">
    <w:name w:val="heading 1"/>
    <w:basedOn w:val="Normal"/>
    <w:next w:val="Normal"/>
    <w:link w:val="Heading1Char"/>
    <w:uiPriority w:val="9"/>
    <w:qFormat/>
    <w:rsid w:val="00AE3300"/>
    <w:pPr>
      <w:keepNext/>
      <w:numPr>
        <w:numId w:val="20"/>
      </w:numPr>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AE3300"/>
    <w:pPr>
      <w:numPr>
        <w:ilvl w:val="1"/>
        <w:numId w:val="20"/>
      </w:numPr>
      <w:outlineLvl w:val="1"/>
    </w:pPr>
    <w:rPr>
      <w:rFonts w:eastAsiaTheme="majorEastAsia" w:cstheme="majorBidi"/>
      <w:b/>
      <w:szCs w:val="32"/>
    </w:rPr>
  </w:style>
  <w:style w:type="paragraph" w:styleId="Heading3">
    <w:name w:val="heading 3"/>
    <w:basedOn w:val="Normal"/>
    <w:next w:val="Normal"/>
    <w:link w:val="Heading3Char"/>
    <w:uiPriority w:val="9"/>
    <w:unhideWhenUsed/>
    <w:qFormat/>
    <w:rsid w:val="00612A68"/>
    <w:pPr>
      <w:numPr>
        <w:ilvl w:val="2"/>
        <w:numId w:val="20"/>
      </w:numPr>
      <w:outlineLvl w:val="2"/>
    </w:pPr>
    <w:rPr>
      <w:rFonts w:eastAsiaTheme="majorEastAsia" w:cstheme="majorBidi"/>
      <w:color w:val="000000" w:themeColor="text1"/>
      <w:szCs w:val="28"/>
    </w:rPr>
  </w:style>
  <w:style w:type="paragraph" w:styleId="Heading4">
    <w:name w:val="heading 4"/>
    <w:basedOn w:val="Normal"/>
    <w:next w:val="Normal"/>
    <w:link w:val="Heading4Char"/>
    <w:uiPriority w:val="9"/>
    <w:unhideWhenUsed/>
    <w:qFormat/>
    <w:rsid w:val="00AE3300"/>
    <w:pPr>
      <w:numPr>
        <w:ilvl w:val="3"/>
        <w:numId w:val="20"/>
      </w:numPr>
      <w:spacing w:before="100" w:beforeAutospacing="1"/>
      <w:ind w:left="2127" w:hanging="709"/>
      <w:outlineLvl w:val="3"/>
    </w:pPr>
    <w:rPr>
      <w:rFonts w:eastAsiaTheme="majorEastAsia" w:cstheme="majorBidi"/>
      <w:color w:val="000000" w:themeColor="text1"/>
      <w:szCs w:val="24"/>
    </w:rPr>
  </w:style>
  <w:style w:type="paragraph" w:styleId="Heading5">
    <w:name w:val="heading 5"/>
    <w:basedOn w:val="Normal"/>
    <w:next w:val="Normal"/>
    <w:link w:val="Heading5Char"/>
    <w:uiPriority w:val="9"/>
    <w:unhideWhenUsed/>
    <w:qFormat/>
    <w:rsid w:val="00AE3300"/>
    <w:pPr>
      <w:numPr>
        <w:ilvl w:val="4"/>
        <w:numId w:val="20"/>
      </w:numPr>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AE3300"/>
    <w:pPr>
      <w:numPr>
        <w:ilvl w:val="5"/>
        <w:numId w:val="20"/>
      </w:numPr>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AE3300"/>
    <w:pPr>
      <w:numPr>
        <w:ilvl w:val="6"/>
        <w:numId w:val="20"/>
      </w:numPr>
      <w:outlineLvl w:val="6"/>
    </w:pPr>
    <w:rPr>
      <w:rFonts w:eastAsiaTheme="majorEastAsia" w:cstheme="majorBidi"/>
      <w:bCs/>
      <w:color w:val="000000" w:themeColor="text1"/>
    </w:rPr>
  </w:style>
  <w:style w:type="paragraph" w:styleId="Heading8">
    <w:name w:val="heading 8"/>
    <w:basedOn w:val="Normal"/>
    <w:next w:val="Normal"/>
    <w:link w:val="Heading8Char"/>
    <w:uiPriority w:val="9"/>
    <w:unhideWhenUsed/>
    <w:qFormat/>
    <w:rsid w:val="00AE3300"/>
    <w:pPr>
      <w:numPr>
        <w:ilvl w:val="7"/>
        <w:numId w:val="20"/>
      </w:numPr>
      <w:ind w:left="4962" w:hanging="709"/>
      <w:outlineLvl w:val="7"/>
    </w:pPr>
    <w:rPr>
      <w:rFonts w:eastAsiaTheme="majorEastAsia" w:cstheme="majorBidi"/>
      <w:bCs/>
      <w:iCs/>
      <w:color w:val="000000" w:themeColor="text1"/>
    </w:rPr>
  </w:style>
  <w:style w:type="paragraph" w:styleId="Heading9">
    <w:name w:val="heading 9"/>
    <w:basedOn w:val="Normal"/>
    <w:next w:val="Normal"/>
    <w:link w:val="Heading9Char"/>
    <w:uiPriority w:val="9"/>
    <w:unhideWhenUsed/>
    <w:qFormat/>
    <w:rsid w:val="00AE3300"/>
    <w:pPr>
      <w:numPr>
        <w:ilvl w:val="8"/>
        <w:numId w:val="20"/>
      </w:numPr>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59"/>
    <w:semiHidden/>
    <w:qFormat/>
    <w:rsid w:val="00B5482E"/>
    <w:pPr>
      <w:keepNext/>
      <w:tabs>
        <w:tab w:val="left" w:pos="709"/>
        <w:tab w:val="left" w:pos="1418"/>
        <w:tab w:val="left" w:pos="2126"/>
        <w:tab w:val="left" w:pos="2835"/>
        <w:tab w:val="left" w:pos="3544"/>
        <w:tab w:val="left" w:pos="4253"/>
        <w:tab w:val="left" w:pos="4961"/>
        <w:tab w:val="left" w:pos="5670"/>
        <w:tab w:val="right" w:pos="8363"/>
      </w:tabs>
    </w:pPr>
    <w:rPr>
      <w:rFonts w:eastAsiaTheme="minorHAnsi"/>
      <w:b/>
      <w:lang w:eastAsia="en-US"/>
    </w:rPr>
  </w:style>
  <w:style w:type="paragraph" w:styleId="Title">
    <w:name w:val="Title"/>
    <w:basedOn w:val="Normal"/>
    <w:link w:val="TitleChar"/>
    <w:rsid w:val="00B5482E"/>
    <w:pPr>
      <w:tabs>
        <w:tab w:val="left" w:pos="709"/>
        <w:tab w:val="left" w:pos="1418"/>
        <w:tab w:val="left" w:pos="2126"/>
        <w:tab w:val="left" w:pos="2835"/>
        <w:tab w:val="left" w:pos="3544"/>
        <w:tab w:val="left" w:pos="4253"/>
        <w:tab w:val="left" w:pos="4961"/>
        <w:tab w:val="left" w:pos="5670"/>
        <w:tab w:val="right" w:pos="8363"/>
      </w:tabs>
      <w:spacing w:before="240" w:after="60"/>
      <w:jc w:val="center"/>
    </w:pPr>
    <w:rPr>
      <w:rFonts w:eastAsiaTheme="minorHAnsi"/>
      <w:b/>
      <w:sz w:val="32"/>
      <w:lang w:eastAsia="en-US"/>
    </w:rPr>
  </w:style>
  <w:style w:type="character" w:customStyle="1" w:styleId="TitleChar">
    <w:name w:val="Title Char"/>
    <w:basedOn w:val="DefaultParagraphFont"/>
    <w:link w:val="Title"/>
    <w:rsid w:val="00B5482E"/>
    <w:rPr>
      <w:rFonts w:ascii="Arial" w:hAnsi="Arial" w:eastAsiaTheme="minorHAnsi"/>
      <w:b/>
      <w:kern w:val="16"/>
      <w:sz w:val="32"/>
      <w:lang w:eastAsia="en-US"/>
    </w:rPr>
  </w:style>
  <w:style w:type="paragraph" w:styleId="Subtitle">
    <w:name w:val="Subtitle"/>
    <w:basedOn w:val="Normal"/>
    <w:link w:val="Subtitle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60"/>
      <w:jc w:val="center"/>
    </w:pPr>
    <w:rPr>
      <w:rFonts w:eastAsiaTheme="minorHAnsi"/>
      <w:i/>
      <w:sz w:val="24"/>
      <w:lang w:eastAsia="en-US"/>
    </w:rPr>
  </w:style>
  <w:style w:type="character" w:customStyle="1" w:styleId="SubtitleChar">
    <w:name w:val="Subtitle Char"/>
    <w:basedOn w:val="DefaultParagraphFont"/>
    <w:link w:val="Subtitle"/>
    <w:uiPriority w:val="99"/>
    <w:semiHidden/>
    <w:rsid w:val="00B5482E"/>
    <w:rPr>
      <w:rFonts w:ascii="Arial" w:hAnsi="Arial" w:eastAsiaTheme="minorHAnsi"/>
      <w:i/>
      <w:kern w:val="16"/>
      <w:sz w:val="24"/>
      <w:lang w:eastAsia="en-US"/>
    </w:rPr>
  </w:style>
  <w:style w:type="character" w:styleId="Strong">
    <w:name w:val="Strong"/>
    <w:basedOn w:val="DefaultParagraphFont"/>
    <w:uiPriority w:val="99"/>
    <w:semiHidden/>
    <w:rsid w:val="00B5482E"/>
    <w:rPr>
      <w:b/>
      <w:bCs/>
      <w:bdr w:val="none" w:sz="0" w:space="0" w:color="auto"/>
    </w:rPr>
  </w:style>
  <w:style w:type="character" w:styleId="Emphasis">
    <w:name w:val="Emphasis"/>
    <w:basedOn w:val="DefaultParagraphFont"/>
    <w:uiPriority w:val="20"/>
    <w:semiHidden/>
    <w:qFormat/>
    <w:rsid w:val="00DA7918"/>
    <w:rPr>
      <w:rFonts w:ascii="Arial" w:hAnsi="Arial"/>
      <w:i/>
      <w:iCs/>
    </w:rPr>
  </w:style>
  <w:style w:type="paragraph" w:styleId="NoSpacing">
    <w:name w:val="No Spacing"/>
    <w:uiPriority w:val="1"/>
    <w:qFormat/>
    <w:rsid w:val="00DA7918"/>
    <w:pPr>
      <w:spacing w:after="0" w:line="240" w:lineRule="auto"/>
    </w:pPr>
    <w:rPr>
      <w:rFonts w:ascii="Arial" w:hAnsi="Arial"/>
    </w:rPr>
  </w:style>
  <w:style w:type="paragraph" w:styleId="Quote">
    <w:name w:val="Quote"/>
    <w:basedOn w:val="Normal"/>
    <w:next w:val="Normal"/>
    <w:link w:val="QuoteChar"/>
    <w:uiPriority w:val="59"/>
    <w:semiHidden/>
    <w:rsid w:val="00B5482E"/>
    <w:pPr>
      <w:tabs>
        <w:tab w:val="left" w:pos="709"/>
        <w:tab w:val="left" w:pos="1418"/>
        <w:tab w:val="left" w:pos="2126"/>
        <w:tab w:val="left" w:pos="2835"/>
        <w:tab w:val="left" w:pos="3544"/>
        <w:tab w:val="left" w:pos="4253"/>
        <w:tab w:val="left" w:pos="4961"/>
        <w:tab w:val="left" w:pos="5670"/>
        <w:tab w:val="right" w:pos="8363"/>
      </w:tabs>
      <w:spacing w:line="240" w:lineRule="atLeast"/>
      <w:ind w:left="1418"/>
    </w:pPr>
    <w:rPr>
      <w:rFonts w:eastAsiaTheme="minorHAnsi"/>
      <w:lang w:eastAsia="en-US"/>
    </w:rPr>
  </w:style>
  <w:style w:type="character" w:customStyle="1" w:styleId="QuoteChar">
    <w:name w:val="Quote Char"/>
    <w:basedOn w:val="DefaultParagraphFont"/>
    <w:link w:val="Quote"/>
    <w:uiPriority w:val="59"/>
    <w:semiHidden/>
    <w:rsid w:val="00B5482E"/>
    <w:rPr>
      <w:rFonts w:ascii="Arial" w:hAnsi="Arial" w:eastAsiaTheme="minorHAnsi"/>
      <w:kern w:val="16"/>
      <w:sz w:val="20"/>
      <w:lang w:eastAsia="en-US"/>
    </w:rPr>
  </w:style>
  <w:style w:type="paragraph" w:styleId="IntenseQuote">
    <w:name w:val="Intense Quote"/>
    <w:basedOn w:val="Normal"/>
    <w:next w:val="Normal"/>
    <w:link w:val="IntenseQuoteChar"/>
    <w:uiPriority w:val="99"/>
    <w:semiHidden/>
    <w:rsid w:val="00B5482E"/>
    <w:pPr>
      <w:pBdr>
        <w:top w:val="single" w:sz="4" w:space="10" w:color="auto"/>
        <w:bottom w:val="single" w:sz="4" w:space="10" w:color="auto"/>
      </w:pBdr>
      <w:tabs>
        <w:tab w:val="left" w:pos="709"/>
        <w:tab w:val="left" w:pos="1418"/>
        <w:tab w:val="left" w:pos="2126"/>
        <w:tab w:val="left" w:pos="2835"/>
        <w:tab w:val="left" w:pos="3544"/>
        <w:tab w:val="left" w:pos="4253"/>
        <w:tab w:val="left" w:pos="4961"/>
        <w:tab w:val="left" w:pos="5670"/>
        <w:tab w:val="right" w:pos="8363"/>
      </w:tabs>
      <w:spacing w:before="360" w:after="360"/>
      <w:ind w:left="864" w:right="864"/>
      <w:jc w:val="center"/>
    </w:pPr>
    <w:rPr>
      <w:rFonts w:eastAsiaTheme="minorHAnsi"/>
      <w:i/>
      <w:iCs/>
      <w:lang w:eastAsia="en-US"/>
    </w:rPr>
  </w:style>
  <w:style w:type="character" w:customStyle="1" w:styleId="IntenseQuoteChar">
    <w:name w:val="Intense Quote Char"/>
    <w:basedOn w:val="DefaultParagraphFont"/>
    <w:link w:val="IntenseQuote"/>
    <w:uiPriority w:val="99"/>
    <w:semiHidden/>
    <w:rsid w:val="00B5482E"/>
    <w:rPr>
      <w:rFonts w:ascii="Arial" w:hAnsi="Arial" w:eastAsiaTheme="minorHAnsi"/>
      <w:i/>
      <w:iCs/>
      <w:kern w:val="16"/>
      <w:sz w:val="20"/>
      <w:lang w:eastAsia="en-US"/>
    </w:rPr>
  </w:style>
  <w:style w:type="character" w:styleId="SubtleEmphasis">
    <w:name w:val="Subtle Emphasis"/>
    <w:basedOn w:val="DefaultParagraphFont"/>
    <w:uiPriority w:val="99"/>
    <w:semiHidden/>
    <w:rsid w:val="00B5482E"/>
    <w:rPr>
      <w:i/>
      <w:iCs/>
      <w:color w:val="404040" w:themeColor="text1" w:themeTint="BF"/>
    </w:rPr>
  </w:style>
  <w:style w:type="character" w:styleId="IntenseEmphasis">
    <w:name w:val="Intense Emphasis"/>
    <w:basedOn w:val="DefaultParagraphFont"/>
    <w:uiPriority w:val="99"/>
    <w:semiHidden/>
    <w:rsid w:val="00B5482E"/>
    <w:rPr>
      <w:i/>
      <w:iCs/>
      <w:color w:val="auto"/>
    </w:rPr>
  </w:style>
  <w:style w:type="character" w:styleId="SubtleReference">
    <w:name w:val="Subtle Reference"/>
    <w:basedOn w:val="DefaultParagraphFont"/>
    <w:uiPriority w:val="99"/>
    <w:semiHidden/>
    <w:rsid w:val="00B5482E"/>
    <w:rPr>
      <w:smallCaps/>
      <w:color w:val="5A5A5A" w:themeColor="text1" w:themeTint="A5"/>
    </w:rPr>
  </w:style>
  <w:style w:type="character" w:styleId="IntenseReference">
    <w:name w:val="Intense Reference"/>
    <w:basedOn w:val="DefaultParagraphFont"/>
    <w:uiPriority w:val="99"/>
    <w:semiHidden/>
    <w:rsid w:val="00B5482E"/>
    <w:rPr>
      <w:b/>
      <w:bCs/>
      <w:smallCaps/>
      <w:color w:val="auto"/>
      <w:spacing w:val="5"/>
    </w:rPr>
  </w:style>
  <w:style w:type="character" w:styleId="BookTitle">
    <w:name w:val="Book Title"/>
    <w:basedOn w:val="DefaultParagraphFont"/>
    <w:uiPriority w:val="33"/>
    <w:semiHidden/>
    <w:qFormat/>
    <w:rsid w:val="00DA7918"/>
    <w:rPr>
      <w:b/>
      <w:bCs/>
      <w:smallCaps/>
      <w:spacing w:val="10"/>
    </w:rPr>
  </w:style>
  <w:style w:type="paragraph" w:styleId="TOCHeading">
    <w:name w:val="TOC Heading"/>
    <w:basedOn w:val="Heading1"/>
    <w:next w:val="Normal"/>
    <w:uiPriority w:val="99"/>
    <w:unhideWhenUsed/>
    <w:qFormat/>
    <w:rsid w:val="00B5482E"/>
    <w:pPr>
      <w:keepLines/>
      <w:numPr>
        <w:numId w:val="0"/>
      </w:numPr>
      <w:tabs>
        <w:tab w:val="left" w:pos="1418"/>
        <w:tab w:val="left" w:pos="2126"/>
        <w:tab w:val="left" w:pos="2835"/>
        <w:tab w:val="left" w:pos="3544"/>
        <w:tab w:val="left" w:pos="4253"/>
        <w:tab w:val="left" w:pos="4961"/>
        <w:tab w:val="left" w:pos="5670"/>
        <w:tab w:val="right" w:pos="8363"/>
      </w:tabs>
      <w:spacing w:before="240"/>
      <w:outlineLvl w:val="9"/>
    </w:pPr>
    <w:rPr>
      <w:b w:val="0"/>
      <w:color w:val="000000" w:themeColor="text1"/>
      <w:sz w:val="32"/>
      <w:szCs w:val="32"/>
      <w:lang w:eastAsia="en-US"/>
    </w:rPr>
  </w:style>
  <w:style w:type="paragraph" w:styleId="ListParagraph">
    <w:name w:val="List Paragraph"/>
    <w:basedOn w:val="Normal"/>
    <w:uiPriority w:val="99"/>
    <w:rsid w:val="00B5482E"/>
    <w:pPr>
      <w:tabs>
        <w:tab w:val="left" w:pos="709"/>
        <w:tab w:val="left" w:pos="1418"/>
        <w:tab w:val="left" w:pos="2126"/>
        <w:tab w:val="left" w:pos="2835"/>
        <w:tab w:val="left" w:pos="3544"/>
        <w:tab w:val="left" w:pos="4253"/>
        <w:tab w:val="left" w:pos="4961"/>
        <w:tab w:val="left" w:pos="5670"/>
        <w:tab w:val="right" w:pos="8363"/>
      </w:tabs>
      <w:ind w:left="720"/>
    </w:pPr>
    <w:rPr>
      <w:rFonts w:eastAsiaTheme="minorHAnsi"/>
      <w:lang w:eastAsia="en-US"/>
    </w:rPr>
  </w:style>
  <w:style w:type="character" w:customStyle="1" w:styleId="Heading1Char">
    <w:name w:val="Heading 1 Char"/>
    <w:basedOn w:val="DefaultParagraphFont"/>
    <w:link w:val="Heading1"/>
    <w:uiPriority w:val="9"/>
    <w:rsid w:val="00AE3300"/>
    <w:rPr>
      <w:rFonts w:ascii="Arial" w:hAnsi="Arial" w:eastAsiaTheme="majorEastAsia" w:cstheme="majorBidi"/>
      <w:b/>
      <w:kern w:val="16"/>
      <w:sz w:val="20"/>
      <w:szCs w:val="36"/>
    </w:rPr>
  </w:style>
  <w:style w:type="character" w:customStyle="1" w:styleId="Heading2Char">
    <w:name w:val="Heading 2 Char"/>
    <w:basedOn w:val="DefaultParagraphFont"/>
    <w:link w:val="Heading2"/>
    <w:uiPriority w:val="9"/>
    <w:rsid w:val="00AE3300"/>
    <w:rPr>
      <w:rFonts w:ascii="Arial" w:hAnsi="Arial" w:eastAsiaTheme="majorEastAsia" w:cstheme="majorBidi"/>
      <w:b/>
      <w:kern w:val="16"/>
      <w:sz w:val="20"/>
      <w:szCs w:val="32"/>
    </w:rPr>
  </w:style>
  <w:style w:type="character" w:customStyle="1" w:styleId="Heading3Char">
    <w:name w:val="Heading 3 Char"/>
    <w:basedOn w:val="DefaultParagraphFont"/>
    <w:link w:val="Heading3"/>
    <w:uiPriority w:val="9"/>
    <w:rsid w:val="00612A68"/>
    <w:rPr>
      <w:rFonts w:ascii="Arial" w:hAnsi="Arial" w:eastAsiaTheme="majorEastAsia" w:cstheme="majorBidi"/>
      <w:color w:val="000000" w:themeColor="text1"/>
      <w:kern w:val="16"/>
      <w:sz w:val="20"/>
      <w:szCs w:val="28"/>
    </w:rPr>
  </w:style>
  <w:style w:type="character" w:customStyle="1" w:styleId="Heading4Char">
    <w:name w:val="Heading 4 Char"/>
    <w:basedOn w:val="DefaultParagraphFont"/>
    <w:link w:val="Heading4"/>
    <w:uiPriority w:val="9"/>
    <w:rsid w:val="00AE3300"/>
    <w:rPr>
      <w:rFonts w:ascii="Arial" w:hAnsi="Arial" w:eastAsiaTheme="majorEastAsia" w:cstheme="majorBidi"/>
      <w:color w:val="000000" w:themeColor="text1"/>
      <w:kern w:val="16"/>
      <w:sz w:val="20"/>
      <w:szCs w:val="24"/>
    </w:rPr>
  </w:style>
  <w:style w:type="character" w:customStyle="1" w:styleId="Heading5Char">
    <w:name w:val="Heading 5 Char"/>
    <w:basedOn w:val="DefaultParagraphFont"/>
    <w:link w:val="Heading5"/>
    <w:uiPriority w:val="9"/>
    <w:rsid w:val="00AE3300"/>
    <w:rPr>
      <w:rFonts w:ascii="Arial" w:hAnsi="Arial" w:eastAsiaTheme="majorEastAsia" w:cstheme="majorBidi"/>
      <w:color w:val="000000" w:themeColor="text1"/>
      <w:kern w:val="16"/>
      <w:sz w:val="20"/>
    </w:rPr>
  </w:style>
  <w:style w:type="character" w:customStyle="1" w:styleId="Heading6Char">
    <w:name w:val="Heading 6 Char"/>
    <w:basedOn w:val="DefaultParagraphFont"/>
    <w:link w:val="Heading6"/>
    <w:uiPriority w:val="9"/>
    <w:rsid w:val="00AE3300"/>
    <w:rPr>
      <w:rFonts w:ascii="Arial" w:hAnsi="Arial" w:eastAsiaTheme="majorEastAsia" w:cstheme="majorBidi"/>
      <w:iCs/>
      <w:color w:val="000000" w:themeColor="text1"/>
      <w:kern w:val="16"/>
      <w:sz w:val="20"/>
    </w:rPr>
  </w:style>
  <w:style w:type="character" w:customStyle="1" w:styleId="Heading7Char">
    <w:name w:val="Heading 7 Char"/>
    <w:basedOn w:val="DefaultParagraphFont"/>
    <w:link w:val="Heading7"/>
    <w:uiPriority w:val="9"/>
    <w:rsid w:val="00AE3300"/>
    <w:rPr>
      <w:rFonts w:ascii="Arial" w:hAnsi="Arial" w:eastAsiaTheme="majorEastAsia" w:cstheme="majorBidi"/>
      <w:bCs/>
      <w:color w:val="000000" w:themeColor="text1"/>
      <w:kern w:val="16"/>
      <w:sz w:val="20"/>
    </w:rPr>
  </w:style>
  <w:style w:type="character" w:customStyle="1" w:styleId="Heading8Char">
    <w:name w:val="Heading 8 Char"/>
    <w:basedOn w:val="DefaultParagraphFont"/>
    <w:link w:val="Heading8"/>
    <w:uiPriority w:val="9"/>
    <w:rsid w:val="00AE3300"/>
    <w:rPr>
      <w:rFonts w:ascii="Arial" w:hAnsi="Arial" w:eastAsiaTheme="majorEastAsia" w:cstheme="majorBidi"/>
      <w:bCs/>
      <w:iCs/>
      <w:color w:val="000000" w:themeColor="text1"/>
      <w:kern w:val="16"/>
      <w:sz w:val="20"/>
    </w:rPr>
  </w:style>
  <w:style w:type="character" w:customStyle="1" w:styleId="Heading9Char">
    <w:name w:val="Heading 9 Char"/>
    <w:basedOn w:val="DefaultParagraphFont"/>
    <w:link w:val="Heading9"/>
    <w:uiPriority w:val="9"/>
    <w:rsid w:val="00AE3300"/>
    <w:rPr>
      <w:rFonts w:ascii="Arial" w:hAnsi="Arial" w:eastAsiaTheme="majorEastAsia" w:cstheme="majorBidi"/>
      <w:iCs/>
      <w:color w:val="000000" w:themeColor="text1"/>
      <w:kern w:val="16"/>
      <w:sz w:val="20"/>
    </w:rPr>
  </w:style>
  <w:style w:type="paragraph" w:styleId="Header">
    <w:name w:val="header"/>
    <w:basedOn w:val="Normal"/>
    <w:link w:val="HeaderChar"/>
    <w:uiPriority w:val="79"/>
    <w:semiHidden/>
    <w:rsid w:val="00B5482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79"/>
    <w:semiHidden/>
    <w:rsid w:val="00B5482E"/>
    <w:rPr>
      <w:rFonts w:ascii="Arial" w:hAnsi="Arial" w:eastAsiaTheme="minorHAnsi"/>
      <w:kern w:val="16"/>
      <w:sz w:val="20"/>
      <w:lang w:eastAsia="en-US"/>
    </w:rPr>
  </w:style>
  <w:style w:type="paragraph" w:styleId="Footer">
    <w:name w:val="footer"/>
    <w:basedOn w:val="Normal"/>
    <w:link w:val="FooterChar"/>
    <w:uiPriority w:val="79"/>
    <w:rsid w:val="00FC39EC"/>
    <w:pPr>
      <w:tabs>
        <w:tab w:val="center" w:pos="4253"/>
        <w:tab w:val="right" w:pos="8363"/>
      </w:tabs>
      <w:spacing w:before="120" w:after="120" w:line="120" w:lineRule="atLeast"/>
    </w:pPr>
    <w:rPr>
      <w:rFonts w:eastAsiaTheme="minorHAnsi"/>
      <w:sz w:val="12"/>
      <w:lang w:eastAsia="en-US"/>
    </w:rPr>
  </w:style>
  <w:style w:type="character" w:customStyle="1" w:styleId="FooterChar">
    <w:name w:val="Footer Char"/>
    <w:basedOn w:val="DefaultParagraphFont"/>
    <w:link w:val="Footer"/>
    <w:uiPriority w:val="79"/>
    <w:rsid w:val="00FC39EC"/>
    <w:rPr>
      <w:rFonts w:ascii="Arial" w:hAnsi="Arial" w:eastAsiaTheme="minorHAnsi"/>
      <w:kern w:val="16"/>
      <w:sz w:val="12"/>
      <w:lang w:eastAsia="en-US"/>
    </w:rPr>
  </w:style>
  <w:style w:type="character" w:styleId="PlaceholderText">
    <w:name w:val="Placeholder Text"/>
    <w:basedOn w:val="DefaultParagraphFont"/>
    <w:uiPriority w:val="99"/>
    <w:semiHidden/>
    <w:rsid w:val="00B5482E"/>
    <w:rPr>
      <w:color w:val="808080"/>
    </w:rPr>
  </w:style>
  <w:style w:type="table" w:styleId="TableGrid">
    <w:name w:val="Table Grid"/>
    <w:basedOn w:val="TableNormal"/>
    <w:uiPriority w:val="59"/>
    <w:rsid w:val="00B5482E"/>
    <w:pPr>
      <w:spacing w:after="0" w:line="240" w:lineRule="auto"/>
    </w:pPr>
    <w:rPr>
      <w:rFonts w:ascii="Arial" w:hAnsi="Arial"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B3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ar">
    <w:name w:val="Dear"/>
    <w:basedOn w:val="Normal"/>
    <w:next w:val="Header"/>
    <w:semiHidden/>
    <w:rsid w:val="00FB3830"/>
    <w:pPr>
      <w:tabs>
        <w:tab w:val="left" w:pos="709"/>
        <w:tab w:val="left" w:pos="1418"/>
        <w:tab w:val="left" w:pos="2126"/>
        <w:tab w:val="left" w:pos="2835"/>
        <w:tab w:val="left" w:pos="3544"/>
        <w:tab w:val="left" w:pos="4253"/>
        <w:tab w:val="left" w:pos="4961"/>
        <w:tab w:val="left" w:pos="5670"/>
        <w:tab w:val="right" w:pos="8363"/>
      </w:tabs>
      <w:spacing w:before="120" w:after="260" w:line="240" w:lineRule="atLeast"/>
      <w:ind w:left="17"/>
    </w:pPr>
    <w:rPr>
      <w:rFonts w:eastAsia="Times New Roman" w:cs="Times New Roman"/>
      <w:sz w:val="19"/>
      <w:szCs w:val="20"/>
      <w:lang w:eastAsia="zh-CN"/>
    </w:rPr>
  </w:style>
  <w:style w:type="paragraph" w:customStyle="1" w:styleId="Address">
    <w:name w:val="Address"/>
    <w:semiHidden/>
    <w:rsid w:val="00FB3830"/>
    <w:pPr>
      <w:spacing w:after="0" w:line="240" w:lineRule="auto"/>
    </w:pPr>
    <w:rPr>
      <w:rFonts w:ascii="Arial" w:eastAsia="Times New Roman" w:hAnsi="Arial" w:cs="Times New Roman"/>
      <w:noProof/>
      <w:sz w:val="19"/>
      <w:szCs w:val="20"/>
    </w:rPr>
  </w:style>
  <w:style w:type="table" w:customStyle="1" w:styleId="TableGrid2">
    <w:name w:val="Table Grid2"/>
    <w:basedOn w:val="TableNormal"/>
    <w:next w:val="TableGrid"/>
    <w:uiPriority w:val="59"/>
    <w:rsid w:val="00FB383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dexNumbering">
    <w:name w:val="Index Numbering"/>
    <w:uiPriority w:val="99"/>
    <w:rsid w:val="00EF652B"/>
    <w:pPr>
      <w:numPr>
        <w:numId w:val="20"/>
      </w:numPr>
    </w:pPr>
  </w:style>
  <w:style w:type="paragraph" w:customStyle="1" w:styleId="BackSheet">
    <w:name w:val="BackSheet"/>
    <w:basedOn w:val="Normal"/>
    <w:rsid w:val="00B5482E"/>
    <w:pPr>
      <w:tabs>
        <w:tab w:val="left" w:pos="709"/>
        <w:tab w:val="left" w:pos="1418"/>
        <w:tab w:val="left" w:pos="2126"/>
        <w:tab w:val="left" w:pos="2835"/>
        <w:tab w:val="left" w:pos="3544"/>
        <w:tab w:val="left" w:pos="4253"/>
        <w:tab w:val="left" w:pos="4961"/>
        <w:tab w:val="left" w:pos="5670"/>
        <w:tab w:val="right" w:pos="8363"/>
      </w:tabs>
      <w:ind w:left="4253"/>
    </w:pPr>
    <w:rPr>
      <w:rFonts w:eastAsiaTheme="minorHAnsi"/>
      <w:lang w:eastAsia="en-US"/>
    </w:rPr>
  </w:style>
  <w:style w:type="paragraph" w:styleId="BalloonText">
    <w:name w:val="Balloon Text"/>
    <w:basedOn w:val="Normal"/>
    <w:link w:val="Balloon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pPr>
    <w:rPr>
      <w:rFonts w:ascii="Tahoma" w:hAnsi="Tahoma" w:eastAsiaTheme="minorHAnsi" w:cs="Tahoma"/>
      <w:sz w:val="16"/>
      <w:szCs w:val="16"/>
      <w:lang w:eastAsia="en-US"/>
    </w:rPr>
  </w:style>
  <w:style w:type="character" w:customStyle="1" w:styleId="BalloonTextChar">
    <w:name w:val="Balloon Text Char"/>
    <w:basedOn w:val="DefaultParagraphFont"/>
    <w:link w:val="BalloonText"/>
    <w:uiPriority w:val="99"/>
    <w:semiHidden/>
    <w:rsid w:val="00B5482E"/>
    <w:rPr>
      <w:rFonts w:ascii="Tahoma" w:hAnsi="Tahoma" w:eastAsiaTheme="minorHAnsi" w:cs="Tahoma"/>
      <w:kern w:val="16"/>
      <w:sz w:val="16"/>
      <w:szCs w:val="16"/>
      <w:lang w:eastAsia="en-US"/>
    </w:rPr>
  </w:style>
  <w:style w:type="paragraph" w:styleId="BlockText">
    <w:name w:val="Block Text"/>
    <w:basedOn w:val="Normal"/>
    <w:uiPriority w:val="99"/>
    <w:semiHidden/>
    <w:rsid w:val="00B5482E"/>
    <w:pPr>
      <w:pBdr>
        <w:top w:val="single" w:sz="2" w:space="10" w:color="000000" w:themeColor="text1"/>
        <w:left w:val="single" w:sz="2" w:space="10" w:color="000000" w:themeColor="text1"/>
        <w:bottom w:val="single" w:sz="2" w:space="10" w:color="000000" w:themeColor="text1"/>
        <w:right w:val="single" w:sz="2" w:space="10" w:color="000000" w:themeColor="text1"/>
      </w:pBdr>
      <w:tabs>
        <w:tab w:val="left" w:pos="709"/>
        <w:tab w:val="left" w:pos="1418"/>
        <w:tab w:val="left" w:pos="2126"/>
        <w:tab w:val="left" w:pos="2835"/>
        <w:tab w:val="left" w:pos="3544"/>
        <w:tab w:val="left" w:pos="4253"/>
        <w:tab w:val="left" w:pos="4961"/>
        <w:tab w:val="left" w:pos="5670"/>
        <w:tab w:val="right" w:pos="8363"/>
      </w:tabs>
      <w:ind w:left="1152" w:right="1152"/>
    </w:pPr>
    <w:rPr>
      <w:i/>
      <w:iCs/>
      <w:color w:val="000000" w:themeColor="text1"/>
      <w:lang w:eastAsia="en-US"/>
    </w:rPr>
  </w:style>
  <w:style w:type="paragraph" w:styleId="BodyText">
    <w:name w:val="Body Text"/>
    <w:basedOn w:val="Normal"/>
    <w:link w:val="BodyTextChar"/>
    <w:uiPriority w:val="99"/>
    <w:rsid w:val="00B5482E"/>
    <w:pPr>
      <w:tabs>
        <w:tab w:val="left" w:pos="709"/>
        <w:tab w:val="left" w:pos="1418"/>
        <w:tab w:val="left" w:pos="2126"/>
        <w:tab w:val="left" w:pos="2835"/>
        <w:tab w:val="left" w:pos="3544"/>
        <w:tab w:val="left" w:pos="4253"/>
        <w:tab w:val="left" w:pos="4961"/>
        <w:tab w:val="left" w:pos="5670"/>
        <w:tab w:val="right" w:pos="8363"/>
      </w:tabs>
      <w:spacing w:after="120"/>
    </w:pPr>
    <w:rPr>
      <w:rFonts w:eastAsiaTheme="minorHAnsi"/>
      <w:lang w:eastAsia="en-US"/>
    </w:rPr>
  </w:style>
  <w:style w:type="character" w:customStyle="1" w:styleId="BodyTextChar">
    <w:name w:val="Body Text Char"/>
    <w:basedOn w:val="DefaultParagraphFont"/>
    <w:link w:val="BodyText"/>
    <w:uiPriority w:val="99"/>
    <w:rsid w:val="00B5482E"/>
    <w:rPr>
      <w:rFonts w:ascii="Arial" w:hAnsi="Arial" w:eastAsiaTheme="minorHAnsi"/>
      <w:kern w:val="16"/>
      <w:sz w:val="20"/>
      <w:lang w:eastAsia="en-US"/>
    </w:rPr>
  </w:style>
  <w:style w:type="paragraph" w:styleId="BodyTextIndent">
    <w:name w:val="Body Text Indent"/>
    <w:basedOn w:val="Normal"/>
    <w:link w:val="BodyTextIndentChar"/>
    <w:uiPriority w:val="9"/>
    <w:rsid w:val="00B5482E"/>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character" w:customStyle="1" w:styleId="BodyTextIndentChar">
    <w:name w:val="Body Text Indent Char"/>
    <w:basedOn w:val="DefaultParagraphFont"/>
    <w:link w:val="BodyTextIndent"/>
    <w:uiPriority w:val="9"/>
    <w:rsid w:val="00B5482E"/>
    <w:rPr>
      <w:rFonts w:ascii="Arial" w:hAnsi="Arial" w:eastAsiaTheme="minorHAnsi"/>
      <w:kern w:val="16"/>
      <w:sz w:val="20"/>
      <w:lang w:eastAsia="en-US"/>
    </w:rPr>
  </w:style>
  <w:style w:type="numbering" w:customStyle="1" w:styleId="Bullet">
    <w:name w:val="Bullet"/>
    <w:uiPriority w:val="99"/>
    <w:rsid w:val="00E7361D"/>
    <w:pPr>
      <w:numPr>
        <w:numId w:val="21"/>
      </w:numPr>
    </w:pPr>
  </w:style>
  <w:style w:type="character" w:styleId="CommentReference">
    <w:name w:val="annotation reference"/>
    <w:uiPriority w:val="99"/>
    <w:unhideWhenUsed/>
    <w:rsid w:val="00B5482E"/>
    <w:rPr>
      <w:rFonts w:ascii="Arial" w:hAnsi="Arial"/>
      <w:sz w:val="16"/>
      <w:szCs w:val="16"/>
    </w:rPr>
  </w:style>
  <w:style w:type="character" w:customStyle="1" w:styleId="CommentReference1">
    <w:name w:val="Comment Reference1"/>
    <w:basedOn w:val="DefaultParagraphFont"/>
    <w:uiPriority w:val="99"/>
    <w:semiHidden/>
    <w:rsid w:val="00B5482E"/>
    <w:rPr>
      <w:rFonts w:ascii="Arial" w:hAnsi="Arial"/>
      <w:i/>
      <w:position w:val="6"/>
      <w:sz w:val="16"/>
    </w:rPr>
  </w:style>
  <w:style w:type="character" w:customStyle="1" w:styleId="CommentReference2">
    <w:name w:val="Comment Reference2"/>
    <w:basedOn w:val="DefaultParagraphFont"/>
    <w:uiPriority w:val="89"/>
    <w:semiHidden/>
    <w:qFormat/>
    <w:rsid w:val="00B5482E"/>
    <w:rPr>
      <w:rFonts w:ascii="Arial" w:hAnsi="Arial"/>
      <w:i/>
      <w:kern w:val="16"/>
      <w:position w:val="6"/>
      <w:sz w:val="16"/>
    </w:rPr>
  </w:style>
  <w:style w:type="paragraph" w:styleId="CommentText">
    <w:name w:val="annotation text"/>
    <w:basedOn w:val="Normal"/>
    <w:link w:val="CommentTextChar"/>
    <w:semiHidden/>
    <w:unhideWhenUsed/>
    <w:rsid w:val="00B5482E"/>
    <w:pPr>
      <w:spacing w:line="240" w:lineRule="auto"/>
    </w:pPr>
    <w:rPr>
      <w:szCs w:val="20"/>
    </w:rPr>
  </w:style>
  <w:style w:type="character" w:customStyle="1" w:styleId="CommentTextChar">
    <w:name w:val="Comment Text Char"/>
    <w:basedOn w:val="DefaultParagraphFont"/>
    <w:link w:val="CommentText"/>
    <w:semiHidden/>
    <w:rsid w:val="00B5482E"/>
    <w:rPr>
      <w:rFonts w:ascii="Arial" w:hAnsi="Arial"/>
      <w:sz w:val="20"/>
      <w:szCs w:val="20"/>
    </w:rPr>
  </w:style>
  <w:style w:type="paragraph" w:styleId="CommentSubject">
    <w:name w:val="annotation subject"/>
    <w:basedOn w:val="Normal"/>
    <w:next w:val="Normal"/>
    <w:link w:val="CommentSubjectChar"/>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pPr>
    <w:rPr>
      <w:rFonts w:eastAsia="Times New Roman" w:cs="Times New Roman"/>
      <w:b/>
      <w:bCs/>
      <w:szCs w:val="20"/>
      <w:lang w:eastAsia="zh-CN"/>
    </w:rPr>
  </w:style>
  <w:style w:type="character" w:customStyle="1" w:styleId="CommentSubjectChar">
    <w:name w:val="Comment Subject Char"/>
    <w:basedOn w:val="DefaultParagraphFont"/>
    <w:link w:val="CommentSubject"/>
    <w:uiPriority w:val="99"/>
    <w:rsid w:val="00B5482E"/>
    <w:rPr>
      <w:rFonts w:ascii="Arial" w:eastAsia="Times New Roman" w:hAnsi="Arial" w:cs="Times New Roman"/>
      <w:b/>
      <w:bCs/>
      <w:kern w:val="16"/>
      <w:sz w:val="20"/>
      <w:szCs w:val="20"/>
      <w:lang w:eastAsia="zh-CN"/>
    </w:rPr>
  </w:style>
  <w:style w:type="paragraph" w:customStyle="1" w:styleId="CommentText1">
    <w:name w:val="Comment Text1"/>
    <w:basedOn w:val="Normal"/>
    <w:uiPriority w:val="99"/>
    <w:semiHidden/>
    <w:qFormat/>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mmentText2">
    <w:name w:val="Comment Text2"/>
    <w:basedOn w:val="Normal"/>
    <w:uiPriority w:val="89"/>
    <w:semiHidden/>
    <w:qFormat/>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ntent">
    <w:name w:val="Content"/>
    <w:basedOn w:val="Normal"/>
    <w:semiHidden/>
    <w:qFormat/>
    <w:rsid w:val="00AE3300"/>
    <w:pPr>
      <w:tabs>
        <w:tab w:val="right" w:pos="8363"/>
      </w:tabs>
      <w:spacing w:before="120"/>
    </w:pPr>
    <w:rPr>
      <w:rFonts w:eastAsiaTheme="minorHAnsi"/>
      <w:lang w:eastAsia="en-US"/>
    </w:rPr>
  </w:style>
  <w:style w:type="character" w:customStyle="1" w:styleId="DocID">
    <w:name w:val="Doc ID"/>
    <w:basedOn w:val="DefaultParagraphFont"/>
    <w:uiPriority w:val="99"/>
    <w:semiHidden/>
    <w:rsid w:val="00B5482E"/>
    <w:rPr>
      <w:sz w:val="12"/>
    </w:rPr>
  </w:style>
  <w:style w:type="character" w:styleId="EndnoteReference">
    <w:name w:val="endnote reference"/>
    <w:uiPriority w:val="99"/>
    <w:semiHidden/>
    <w:rsid w:val="00B5482E"/>
    <w:rPr>
      <w:rFonts w:ascii="Arial" w:hAnsi="Arial"/>
      <w:b/>
      <w:color w:val="auto"/>
      <w:kern w:val="16"/>
      <w:position w:val="6"/>
      <w:sz w:val="14"/>
      <w:u w:val="none"/>
    </w:rPr>
  </w:style>
  <w:style w:type="paragraph" w:styleId="EndnoteText">
    <w:name w:val="endnote text"/>
    <w:basedOn w:val="Normal"/>
    <w:link w:val="Endnote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EndnoteTextChar">
    <w:name w:val="Endnote Text Char"/>
    <w:basedOn w:val="DefaultParagraphFont"/>
    <w:link w:val="EndnoteText"/>
    <w:uiPriority w:val="99"/>
    <w:semiHidden/>
    <w:rsid w:val="00B5482E"/>
    <w:rPr>
      <w:rFonts w:ascii="Arial" w:hAnsi="Arial" w:eastAsiaTheme="minorHAnsi"/>
      <w:kern w:val="16"/>
      <w:sz w:val="16"/>
      <w:lang w:eastAsia="en-US"/>
    </w:rPr>
  </w:style>
  <w:style w:type="paragraph" w:customStyle="1" w:styleId="FooterNext">
    <w:name w:val="Footer Next"/>
    <w:basedOn w:val="Footer"/>
    <w:uiPriority w:val="79"/>
    <w:semiHidden/>
    <w:rsid w:val="00B5482E"/>
  </w:style>
  <w:style w:type="character" w:styleId="FootnoteReference">
    <w:name w:val="footnote reference"/>
    <w:uiPriority w:val="99"/>
    <w:semiHidden/>
    <w:rsid w:val="00B5482E"/>
    <w:rPr>
      <w:rFonts w:ascii="Arial" w:hAnsi="Arial"/>
      <w:b/>
      <w:color w:val="auto"/>
      <w:kern w:val="16"/>
      <w:position w:val="6"/>
      <w:sz w:val="14"/>
      <w:u w:val="none"/>
    </w:rPr>
  </w:style>
  <w:style w:type="paragraph" w:styleId="FootnoteText">
    <w:name w:val="footnote text"/>
    <w:basedOn w:val="Normal"/>
    <w:link w:val="Footnote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FootnoteTextChar">
    <w:name w:val="Footnote Text Char"/>
    <w:basedOn w:val="DefaultParagraphFont"/>
    <w:link w:val="FootnoteText"/>
    <w:uiPriority w:val="99"/>
    <w:semiHidden/>
    <w:rsid w:val="00B5482E"/>
    <w:rPr>
      <w:rFonts w:ascii="Arial" w:hAnsi="Arial" w:eastAsiaTheme="minorHAnsi"/>
      <w:kern w:val="16"/>
      <w:sz w:val="16"/>
      <w:lang w:eastAsia="en-US"/>
    </w:rPr>
  </w:style>
  <w:style w:type="paragraph" w:customStyle="1" w:styleId="FrontSheet">
    <w:name w:val="FrontSheet"/>
    <w:basedOn w:val="Normal"/>
    <w:uiPriority w:val="99"/>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Heading">
    <w:name w:val="Heading"/>
    <w:basedOn w:val="Normal"/>
    <w:next w:val="Normal"/>
    <w:rsid w:val="00B5482E"/>
    <w:pPr>
      <w:keepNext/>
      <w:keepLines/>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Hyperlink">
    <w:name w:val="Hyperlink"/>
    <w:basedOn w:val="DefaultParagraphFont"/>
    <w:uiPriority w:val="99"/>
    <w:unhideWhenUsed/>
    <w:rsid w:val="00B5482E"/>
    <w:rPr>
      <w:color w:val="0563C1" w:themeColor="hyperlink"/>
      <w:u w:val="single"/>
    </w:rPr>
  </w:style>
  <w:style w:type="paragraph" w:customStyle="1" w:styleId="Indent1">
    <w:name w:val="Indent1"/>
    <w:basedOn w:val="Normal"/>
    <w:uiPriority w:val="99"/>
    <w:unhideWhenUsed/>
    <w:rsid w:val="00B5482E"/>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hanging="567"/>
    </w:pPr>
    <w:rPr>
      <w:rFonts w:eastAsiaTheme="minorHAnsi"/>
      <w:lang w:eastAsia="en-US"/>
    </w:rPr>
  </w:style>
  <w:style w:type="paragraph" w:customStyle="1" w:styleId="indent2">
    <w:name w:val="indent2"/>
    <w:basedOn w:val="Normal"/>
    <w:uiPriority w:val="99"/>
    <w:unhideWhenUsed/>
    <w:rsid w:val="00B5482E"/>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pPr>
    <w:rPr>
      <w:rFonts w:eastAsiaTheme="minorHAnsi"/>
      <w:lang w:eastAsia="en-US"/>
    </w:rPr>
  </w:style>
  <w:style w:type="paragraph" w:styleId="Index1">
    <w:name w:val="index 1"/>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leader="dot" w:pos="8363"/>
      </w:tabs>
      <w:spacing w:after="120"/>
      <w:ind w:left="284" w:hanging="284"/>
    </w:pPr>
    <w:rPr>
      <w:rFonts w:eastAsiaTheme="minorHAnsi"/>
      <w:lang w:eastAsia="en-US"/>
    </w:rPr>
  </w:style>
  <w:style w:type="paragraph" w:styleId="Index2">
    <w:name w:val="index 2"/>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leader="dot" w:pos="8363"/>
      </w:tabs>
      <w:spacing w:after="120"/>
      <w:ind w:left="993" w:hanging="284"/>
    </w:pPr>
    <w:rPr>
      <w:rFonts w:eastAsiaTheme="minorHAnsi"/>
      <w:lang w:eastAsia="en-US"/>
    </w:rPr>
  </w:style>
  <w:style w:type="paragraph" w:styleId="Index3">
    <w:name w:val="index 3"/>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600" w:hanging="200"/>
    </w:pPr>
    <w:rPr>
      <w:rFonts w:eastAsiaTheme="minorHAnsi"/>
      <w:lang w:eastAsia="en-US"/>
    </w:rPr>
  </w:style>
  <w:style w:type="paragraph" w:styleId="Index4">
    <w:name w:val="index 4"/>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800" w:hanging="200"/>
    </w:pPr>
    <w:rPr>
      <w:rFonts w:eastAsiaTheme="minorHAnsi"/>
      <w:lang w:eastAsia="en-US"/>
    </w:rPr>
  </w:style>
  <w:style w:type="paragraph" w:styleId="Index5">
    <w:name w:val="index 5"/>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000" w:hanging="200"/>
    </w:pPr>
    <w:rPr>
      <w:rFonts w:eastAsiaTheme="minorHAnsi"/>
      <w:lang w:eastAsia="en-US"/>
    </w:rPr>
  </w:style>
  <w:style w:type="paragraph" w:styleId="Index6">
    <w:name w:val="index 6"/>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200" w:hanging="200"/>
    </w:pPr>
    <w:rPr>
      <w:rFonts w:eastAsiaTheme="minorHAnsi"/>
      <w:lang w:eastAsia="en-US"/>
    </w:rPr>
  </w:style>
  <w:style w:type="paragraph" w:styleId="Index7">
    <w:name w:val="index 7"/>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191"/>
    </w:pPr>
    <w:rPr>
      <w:rFonts w:eastAsiaTheme="minorHAnsi"/>
      <w:lang w:eastAsia="en-US"/>
    </w:rPr>
  </w:style>
  <w:style w:type="paragraph" w:styleId="Index8">
    <w:name w:val="index 8"/>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600" w:hanging="200"/>
    </w:pPr>
    <w:rPr>
      <w:rFonts w:eastAsiaTheme="minorHAnsi"/>
      <w:lang w:eastAsia="en-US"/>
    </w:rPr>
  </w:style>
  <w:style w:type="paragraph" w:styleId="Index9">
    <w:name w:val="index 9"/>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800" w:hanging="200"/>
    </w:pPr>
    <w:rPr>
      <w:rFonts w:eastAsiaTheme="minorHAnsi"/>
      <w:lang w:eastAsia="en-US"/>
    </w:rPr>
  </w:style>
  <w:style w:type="paragraph" w:styleId="IndexHeading">
    <w:name w:val="index heading"/>
    <w:basedOn w:val="Normal"/>
    <w:next w:val="Index1"/>
    <w:uiPriority w:val="96"/>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LineNumber">
    <w:name w:val="line number"/>
    <w:uiPriority w:val="99"/>
    <w:semiHidden/>
    <w:rsid w:val="00B5482E"/>
    <w:rPr>
      <w:rFonts w:ascii="Arial" w:hAnsi="Arial"/>
      <w:color w:val="auto"/>
      <w:kern w:val="16"/>
      <w:u w:val="none"/>
    </w:rPr>
  </w:style>
  <w:style w:type="paragraph" w:styleId="List">
    <w:name w:val="List"/>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2">
    <w:name w:val="List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566" w:hanging="283"/>
      <w:contextualSpacing/>
    </w:pPr>
    <w:rPr>
      <w:rFonts w:eastAsiaTheme="minorHAnsi"/>
      <w:lang w:eastAsia="en-US"/>
    </w:rPr>
  </w:style>
  <w:style w:type="paragraph" w:styleId="List3">
    <w:name w:val="List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849" w:hanging="283"/>
      <w:contextualSpacing/>
    </w:pPr>
    <w:rPr>
      <w:rFonts w:eastAsiaTheme="minorHAnsi"/>
      <w:lang w:eastAsia="en-US"/>
    </w:rPr>
  </w:style>
  <w:style w:type="paragraph" w:styleId="List4">
    <w:name w:val="List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5">
    <w:name w:val="List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415" w:hanging="283"/>
      <w:contextualSpacing/>
    </w:pPr>
    <w:rPr>
      <w:rFonts w:eastAsiaTheme="minorHAnsi"/>
      <w:lang w:eastAsia="en-US"/>
    </w:rPr>
  </w:style>
  <w:style w:type="paragraph" w:styleId="ListBullet">
    <w:name w:val="List Bullet"/>
    <w:basedOn w:val="Normal"/>
    <w:uiPriority w:val="99"/>
    <w:unhideWhenUsed/>
    <w:rsid w:val="00E7361D"/>
    <w:pPr>
      <w:numPr>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2">
    <w:name w:val="List Bullet 2"/>
    <w:basedOn w:val="Normal"/>
    <w:uiPriority w:val="99"/>
    <w:unhideWhenUsed/>
    <w:rsid w:val="00E7361D"/>
    <w:pPr>
      <w:numPr>
        <w:ilvl w:val="1"/>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3">
    <w:name w:val="List Bullet 3"/>
    <w:basedOn w:val="Normal"/>
    <w:uiPriority w:val="99"/>
    <w:unhideWhenUsed/>
    <w:rsid w:val="00E7361D"/>
    <w:pPr>
      <w:numPr>
        <w:ilvl w:val="2"/>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4">
    <w:name w:val="List Bullet 4"/>
    <w:basedOn w:val="Normal"/>
    <w:uiPriority w:val="99"/>
    <w:unhideWhenUsed/>
    <w:rsid w:val="00E7361D"/>
    <w:pPr>
      <w:numPr>
        <w:ilvl w:val="3"/>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5">
    <w:name w:val="List Bullet 5"/>
    <w:basedOn w:val="Normal"/>
    <w:uiPriority w:val="99"/>
    <w:unhideWhenUsed/>
    <w:rsid w:val="00E7361D"/>
    <w:pPr>
      <w:numPr>
        <w:ilvl w:val="4"/>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6">
    <w:name w:val="List Bullet 6"/>
    <w:basedOn w:val="Normal"/>
    <w:uiPriority w:val="99"/>
    <w:unhideWhenUsed/>
    <w:rsid w:val="00E7361D"/>
    <w:pPr>
      <w:numPr>
        <w:ilvl w:val="5"/>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7">
    <w:name w:val="List Bullet 7"/>
    <w:basedOn w:val="Normal"/>
    <w:uiPriority w:val="99"/>
    <w:unhideWhenUsed/>
    <w:rsid w:val="00E7361D"/>
    <w:pPr>
      <w:numPr>
        <w:ilvl w:val="6"/>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8">
    <w:name w:val="List Bullet 8"/>
    <w:basedOn w:val="NormalWeb"/>
    <w:uiPriority w:val="99"/>
    <w:unhideWhenUsed/>
    <w:rsid w:val="00E7361D"/>
    <w:pPr>
      <w:numPr>
        <w:ilvl w:val="7"/>
        <w:numId w:val="41"/>
      </w:numPr>
      <w:tabs>
        <w:tab w:val="left" w:pos="1418"/>
        <w:tab w:val="left" w:pos="2126"/>
        <w:tab w:val="left" w:pos="2835"/>
        <w:tab w:val="left" w:pos="3544"/>
        <w:tab w:val="left" w:pos="4253"/>
        <w:tab w:val="left" w:pos="4961"/>
        <w:tab w:val="left" w:pos="5670"/>
        <w:tab w:val="right" w:pos="8363"/>
      </w:tabs>
      <w:spacing w:after="200"/>
    </w:pPr>
    <w:rPr>
      <w:rFonts w:ascii="Arial" w:hAnsi="Arial" w:eastAsiaTheme="minorHAnsi"/>
      <w:sz w:val="20"/>
      <w:lang w:eastAsia="en-US"/>
    </w:rPr>
  </w:style>
  <w:style w:type="paragraph" w:styleId="NormalWeb">
    <w:name w:val="Normal (Web)"/>
    <w:basedOn w:val="Normal"/>
    <w:uiPriority w:val="99"/>
    <w:semiHidden/>
    <w:unhideWhenUsed/>
    <w:rsid w:val="00B5482E"/>
    <w:rPr>
      <w:rFonts w:ascii="Times New Roman" w:hAnsi="Times New Roman" w:cs="Times New Roman"/>
      <w:sz w:val="24"/>
      <w:szCs w:val="24"/>
    </w:rPr>
  </w:style>
  <w:style w:type="paragraph" w:customStyle="1" w:styleId="ListBullet9">
    <w:name w:val="List Bullet 9"/>
    <w:basedOn w:val="Normal"/>
    <w:uiPriority w:val="99"/>
    <w:unhideWhenUsed/>
    <w:qFormat/>
    <w:rsid w:val="00E7361D"/>
    <w:pPr>
      <w:numPr>
        <w:ilvl w:val="8"/>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Continue">
    <w:name w:val="List Continue"/>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paragraph" w:styleId="ListContinue2">
    <w:name w:val="List Continue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566"/>
    </w:pPr>
    <w:rPr>
      <w:rFonts w:eastAsiaTheme="minorHAnsi"/>
      <w:lang w:eastAsia="en-US"/>
    </w:rPr>
  </w:style>
  <w:style w:type="paragraph" w:styleId="ListContinue3">
    <w:name w:val="List Continue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849"/>
    </w:pPr>
    <w:rPr>
      <w:rFonts w:eastAsiaTheme="minorHAnsi"/>
      <w:lang w:eastAsia="en-US"/>
    </w:rPr>
  </w:style>
  <w:style w:type="paragraph" w:styleId="ListContinue4">
    <w:name w:val="List Continue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1132"/>
    </w:pPr>
    <w:rPr>
      <w:rFonts w:eastAsiaTheme="minorHAnsi"/>
      <w:lang w:eastAsia="en-US"/>
    </w:rPr>
  </w:style>
  <w:style w:type="paragraph" w:styleId="ListContinue5">
    <w:name w:val="List Continue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1415"/>
    </w:pPr>
    <w:rPr>
      <w:rFonts w:eastAsiaTheme="minorHAnsi"/>
      <w:lang w:eastAsia="en-US"/>
    </w:rPr>
  </w:style>
  <w:style w:type="paragraph" w:styleId="ListNumber">
    <w:name w:val="List Number"/>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Number2">
    <w:name w:val="List Number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566" w:hanging="283"/>
    </w:pPr>
    <w:rPr>
      <w:rFonts w:eastAsiaTheme="minorHAnsi"/>
      <w:lang w:eastAsia="en-US"/>
    </w:rPr>
  </w:style>
  <w:style w:type="paragraph" w:styleId="ListNumber3">
    <w:name w:val="List Number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849" w:hanging="283"/>
    </w:pPr>
    <w:rPr>
      <w:rFonts w:eastAsiaTheme="minorHAnsi"/>
      <w:lang w:eastAsia="en-US"/>
    </w:rPr>
  </w:style>
  <w:style w:type="paragraph" w:styleId="ListNumber4">
    <w:name w:val="List Number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Number5">
    <w:name w:val="List Number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415" w:hanging="283"/>
    </w:pPr>
    <w:rPr>
      <w:rFonts w:eastAsiaTheme="minorHAnsi"/>
      <w:lang w:eastAsia="en-US"/>
    </w:rPr>
  </w:style>
  <w:style w:type="paragraph" w:styleId="MessageHeader">
    <w:name w:val="Message Header"/>
    <w:basedOn w:val="Normal"/>
    <w:link w:val="MessageHeaderChar"/>
    <w:semiHidden/>
    <w:rsid w:val="00B5482E"/>
    <w:pPr>
      <w:tabs>
        <w:tab w:val="left" w:pos="709"/>
        <w:tab w:val="left" w:pos="1418"/>
        <w:tab w:val="left" w:pos="2126"/>
        <w:tab w:val="left" w:pos="2835"/>
        <w:tab w:val="left" w:pos="3544"/>
        <w:tab w:val="left" w:pos="4253"/>
        <w:tab w:val="left" w:pos="4961"/>
        <w:tab w:val="left" w:pos="5670"/>
        <w:tab w:val="right" w:pos="8363"/>
      </w:tabs>
      <w:ind w:left="1134" w:hanging="1134"/>
    </w:pPr>
    <w:rPr>
      <w:rFonts w:eastAsiaTheme="minorHAnsi"/>
      <w:sz w:val="24"/>
      <w:lang w:eastAsia="en-US"/>
    </w:rPr>
  </w:style>
  <w:style w:type="character" w:customStyle="1" w:styleId="MessageHeaderChar">
    <w:name w:val="Message Header Char"/>
    <w:basedOn w:val="DefaultParagraphFont"/>
    <w:link w:val="MessageHeader"/>
    <w:semiHidden/>
    <w:rsid w:val="00B5482E"/>
    <w:rPr>
      <w:rFonts w:ascii="Arial" w:hAnsi="Arial" w:eastAsiaTheme="minorHAnsi"/>
      <w:kern w:val="16"/>
      <w:sz w:val="24"/>
      <w:lang w:eastAsia="en-US"/>
    </w:rPr>
  </w:style>
  <w:style w:type="character" w:styleId="PageNumber">
    <w:name w:val="page number"/>
    <w:semiHidden/>
    <w:rsid w:val="00B5482E"/>
    <w:rPr>
      <w:rFonts w:ascii="Arial" w:hAnsi="Arial"/>
      <w:color w:val="auto"/>
      <w:kern w:val="16"/>
      <w:u w:val="none"/>
    </w:rPr>
  </w:style>
  <w:style w:type="paragraph" w:styleId="Signature">
    <w:name w:val="Signature"/>
    <w:basedOn w:val="Normal"/>
    <w:link w:val="Signature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4252"/>
    </w:pPr>
    <w:rPr>
      <w:rFonts w:eastAsiaTheme="minorHAnsi"/>
      <w:lang w:eastAsia="en-US"/>
    </w:rPr>
  </w:style>
  <w:style w:type="character" w:customStyle="1" w:styleId="SignatureChar">
    <w:name w:val="Signature Char"/>
    <w:basedOn w:val="DefaultParagraphFont"/>
    <w:link w:val="Signature"/>
    <w:uiPriority w:val="99"/>
    <w:semiHidden/>
    <w:rsid w:val="00B5482E"/>
    <w:rPr>
      <w:rFonts w:ascii="Arial" w:hAnsi="Arial" w:eastAsiaTheme="minorHAnsi"/>
      <w:kern w:val="16"/>
      <w:sz w:val="20"/>
      <w:lang w:eastAsia="en-US"/>
    </w:rPr>
  </w:style>
  <w:style w:type="paragraph" w:styleId="TableofAuthorities">
    <w:name w:val="table of authorities"/>
    <w:basedOn w:val="Normal"/>
    <w:next w:val="Normal"/>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styleId="TableofFigures">
    <w:name w:val="table of figures"/>
    <w:basedOn w:val="Normal"/>
    <w:next w:val="Normal"/>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TitleTOC">
    <w:name w:val="TitleTOC"/>
    <w:basedOn w:val="Normal"/>
    <w:uiPriority w:val="49"/>
    <w:unhideWhenUsed/>
    <w:rsid w:val="00B5482E"/>
    <w:pPr>
      <w:tabs>
        <w:tab w:val="left" w:pos="709"/>
        <w:tab w:val="left" w:pos="1418"/>
        <w:tab w:val="left" w:pos="2126"/>
        <w:tab w:val="left" w:pos="2835"/>
        <w:tab w:val="left" w:pos="3544"/>
        <w:tab w:val="left" w:pos="4253"/>
        <w:tab w:val="left" w:pos="4961"/>
        <w:tab w:val="left" w:pos="5670"/>
        <w:tab w:val="right" w:pos="8363"/>
      </w:tabs>
      <w:jc w:val="center"/>
    </w:pPr>
    <w:rPr>
      <w:rFonts w:eastAsiaTheme="minorHAnsi"/>
      <w:b/>
      <w:lang w:eastAsia="en-US"/>
    </w:rPr>
  </w:style>
  <w:style w:type="paragraph" w:styleId="TOAHeading">
    <w:name w:val="toa heading"/>
    <w:basedOn w:val="Normal"/>
    <w:next w:val="Normal"/>
    <w:uiPriority w:val="49"/>
    <w:unhideWhenUsed/>
    <w:rsid w:val="00B5482E"/>
    <w:pPr>
      <w:tabs>
        <w:tab w:val="left" w:pos="709"/>
        <w:tab w:val="left" w:pos="1418"/>
        <w:tab w:val="left" w:pos="2126"/>
        <w:tab w:val="left" w:pos="2835"/>
        <w:tab w:val="left" w:pos="3544"/>
        <w:tab w:val="left" w:pos="4253"/>
        <w:tab w:val="left" w:pos="4961"/>
        <w:tab w:val="left" w:pos="5670"/>
        <w:tab w:val="right" w:pos="8363"/>
      </w:tabs>
      <w:spacing w:before="120"/>
    </w:pPr>
    <w:rPr>
      <w:rFonts w:eastAsiaTheme="minorHAnsi"/>
      <w:b/>
      <w:sz w:val="24"/>
      <w:lang w:eastAsia="en-US"/>
    </w:rPr>
  </w:style>
  <w:style w:type="paragraph" w:styleId="TOC1">
    <w:name w:val="toc 1"/>
    <w:basedOn w:val="Normal"/>
    <w:next w:val="Normal"/>
    <w:autoRedefine/>
    <w:uiPriority w:val="39"/>
    <w:unhideWhenUsed/>
    <w:rsid w:val="00B5482E"/>
    <w:pPr>
      <w:tabs>
        <w:tab w:val="right" w:pos="8363"/>
      </w:tabs>
    </w:pPr>
    <w:rPr>
      <w:rFonts w:eastAsiaTheme="minorHAnsi"/>
      <w:lang w:eastAsia="en-US"/>
    </w:rPr>
  </w:style>
  <w:style w:type="paragraph" w:styleId="TOC2">
    <w:name w:val="toc 2"/>
    <w:basedOn w:val="Normal"/>
    <w:next w:val="Normal"/>
    <w:autoRedefine/>
    <w:uiPriority w:val="39"/>
    <w:unhideWhenUsed/>
    <w:rsid w:val="00B5482E"/>
    <w:pPr>
      <w:tabs>
        <w:tab w:val="left" w:pos="1418"/>
        <w:tab w:val="right" w:pos="8363"/>
      </w:tabs>
      <w:ind w:left="709"/>
    </w:pPr>
    <w:rPr>
      <w:rFonts w:eastAsiaTheme="minorHAnsi"/>
      <w:noProof/>
      <w:lang w:eastAsia="en-US"/>
    </w:rPr>
  </w:style>
  <w:style w:type="paragraph" w:styleId="TOC3">
    <w:name w:val="toc 3"/>
    <w:basedOn w:val="Normal"/>
    <w:next w:val="Normal"/>
    <w:autoRedefine/>
    <w:uiPriority w:val="39"/>
    <w:unhideWhenUsed/>
    <w:rsid w:val="00B5482E"/>
    <w:pPr>
      <w:tabs>
        <w:tab w:val="left" w:pos="1418"/>
        <w:tab w:val="right" w:pos="8363"/>
      </w:tabs>
      <w:ind w:left="709"/>
    </w:pPr>
    <w:rPr>
      <w:rFonts w:eastAsiaTheme="minorHAnsi"/>
      <w:lang w:eastAsia="en-US"/>
    </w:rPr>
  </w:style>
  <w:style w:type="paragraph" w:styleId="TOC4">
    <w:name w:val="toc 4"/>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601"/>
    </w:pPr>
    <w:rPr>
      <w:rFonts w:eastAsiaTheme="minorHAnsi"/>
      <w:lang w:eastAsia="en-US"/>
    </w:rPr>
  </w:style>
  <w:style w:type="paragraph" w:styleId="TOC5">
    <w:name w:val="toc 5"/>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799"/>
    </w:pPr>
    <w:rPr>
      <w:rFonts w:eastAsiaTheme="minorHAnsi"/>
      <w:lang w:eastAsia="en-US"/>
    </w:rPr>
  </w:style>
  <w:style w:type="paragraph" w:styleId="TOC6">
    <w:name w:val="toc 6"/>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000"/>
    </w:pPr>
    <w:rPr>
      <w:rFonts w:eastAsiaTheme="minorHAnsi"/>
      <w:lang w:eastAsia="en-US"/>
    </w:rPr>
  </w:style>
  <w:style w:type="paragraph" w:styleId="TOC7">
    <w:name w:val="toc 7"/>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200"/>
    </w:pPr>
    <w:rPr>
      <w:rFonts w:eastAsiaTheme="minorHAnsi"/>
      <w:lang w:eastAsia="en-US"/>
    </w:rPr>
  </w:style>
  <w:style w:type="paragraph" w:styleId="TOC8">
    <w:name w:val="toc 8"/>
    <w:basedOn w:val="Normal"/>
    <w:next w:val="Normal"/>
    <w:autoRedefine/>
    <w:uiPriority w:val="99"/>
    <w:semiHidden/>
    <w:rsid w:val="00B5482E"/>
    <w:pPr>
      <w:spacing w:after="0"/>
      <w:ind w:left="1400"/>
    </w:pPr>
    <w:rPr>
      <w:rFonts w:eastAsiaTheme="minorHAnsi"/>
      <w:lang w:eastAsia="en-US"/>
    </w:rPr>
  </w:style>
  <w:style w:type="paragraph" w:styleId="TOC9">
    <w:name w:val="toc 9"/>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600"/>
    </w:pPr>
    <w:rPr>
      <w:rFonts w:eastAsiaTheme="minorHAnsi"/>
      <w:lang w:eastAsia="en-US"/>
    </w:rPr>
  </w:style>
  <w:style w:type="paragraph" w:customStyle="1" w:styleId="FooterBackPage">
    <w:name w:val="Footer Back Page"/>
    <w:basedOn w:val="Footer"/>
    <w:rsid w:val="008F4875"/>
    <w:pPr>
      <w:spacing w:before="0" w:after="280"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2499</Words>
  <Characters>13637</Characters>
  <Application>Microsoft Office Word</Application>
  <DocSecurity>0</DocSecurity>
  <Lines>114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2021-03-10T11:50:00Z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10024033</vt:lpwstr>
  </property>
  <property fmtid="{D5CDD505-2E9C-101B-9397-08002B2CF9AE}" pid="3" name="DEDocumentLocation">
    <vt:lpwstr>C:\Users\Gzriley\AppData\Local\Linklaters\DocExplorer\Attachments\Ruby II - Publication of Prospectus Announcement P&amp;OO (12.02.21)_LL Comments (25.02.21).docx</vt:lpwstr>
  </property>
  <property fmtid="{D5CDD505-2E9C-101B-9397-08002B2CF9AE}" pid="4" name="Document Number">
    <vt:lpwstr>A43711918</vt:lpwstr>
  </property>
  <property fmtid="{D5CDD505-2E9C-101B-9397-08002B2CF9AE}" pid="5" name="Last Modified">
    <vt:lpwstr>25 Feb 2021</vt:lpwstr>
  </property>
  <property fmtid="{D5CDD505-2E9C-101B-9397-08002B2CF9AE}" pid="6" name="Matter Number">
    <vt:lpwstr>L-302986</vt:lpwstr>
  </property>
  <property fmtid="{D5CDD505-2E9C-101B-9397-08002B2CF9AE}" pid="7" name="Mode">
    <vt:lpwstr>SendAs</vt:lpwstr>
  </property>
  <property fmtid="{D5CDD505-2E9C-101B-9397-08002B2CF9AE}" pid="8" name="MSIP_Label_bec79d4a-8636-4734-9a24-702408a372e1_ActionId">
    <vt:lpwstr>289b6a6b-d08c-4a88-8b81-4fb3d5ae1a67</vt:lpwstr>
  </property>
  <property fmtid="{D5CDD505-2E9C-101B-9397-08002B2CF9AE}" pid="9" name="MSIP_Label_bec79d4a-8636-4734-9a24-702408a372e1_ContentBits">
    <vt:lpwstr>0</vt:lpwstr>
  </property>
  <property fmtid="{D5CDD505-2E9C-101B-9397-08002B2CF9AE}" pid="10" name="MSIP_Label_bec79d4a-8636-4734-9a24-702408a372e1_Enabled">
    <vt:lpwstr>true</vt:lpwstr>
  </property>
  <property fmtid="{D5CDD505-2E9C-101B-9397-08002B2CF9AE}" pid="11" name="MSIP_Label_bec79d4a-8636-4734-9a24-702408a372e1_Method">
    <vt:lpwstr>Privileged</vt:lpwstr>
  </property>
  <property fmtid="{D5CDD505-2E9C-101B-9397-08002B2CF9AE}" pid="12" name="MSIP_Label_bec79d4a-8636-4734-9a24-702408a372e1_Name">
    <vt:lpwstr>bec79d4a-8636-4734-9a24-702408a372e1</vt:lpwstr>
  </property>
  <property fmtid="{D5CDD505-2E9C-101B-9397-08002B2CF9AE}" pid="13" name="MSIP_Label_bec79d4a-8636-4734-9a24-702408a372e1_SetDate">
    <vt:lpwstr>2021-03-10T11:48:07Z</vt:lpwstr>
  </property>
  <property fmtid="{D5CDD505-2E9C-101B-9397-08002B2CF9AE}" pid="14" name="MSIP_Label_bec79d4a-8636-4734-9a24-702408a372e1_SiteId">
    <vt:lpwstr>6d6a11bc-469a-48df-a548-d3f353ac1be8</vt:lpwstr>
  </property>
  <property fmtid="{D5CDD505-2E9C-101B-9397-08002B2CF9AE}" pid="15" name="ObjectID">
    <vt:lpwstr>09001dc89574bc0b</vt:lpwstr>
  </property>
  <property fmtid="{D5CDD505-2E9C-101B-9397-08002B2CF9AE}" pid="16" name="udp_Author">
    <vt:lpwstr>NUG</vt:lpwstr>
  </property>
  <property fmtid="{D5CDD505-2E9C-101B-9397-08002B2CF9AE}" pid="17" name="udp_CMNumber">
    <vt:lpwstr>220543/10324</vt:lpwstr>
  </property>
  <property fmtid="{D5CDD505-2E9C-101B-9397-08002B2CF9AE}" pid="18" name="udp_DocID">
    <vt:lpwstr>570878865</vt:lpwstr>
  </property>
  <property fmtid="{D5CDD505-2E9C-101B-9397-08002B2CF9AE}" pid="19" name="udp_DocVersion">
    <vt:lpwstr>1</vt:lpwstr>
  </property>
  <property fmtid="{D5CDD505-2E9C-101B-9397-08002B2CF9AE}" pid="20" name="Version">
    <vt:lpwstr>0.6</vt:lpwstr>
  </property>
  <property fmtid="{D5CDD505-2E9C-101B-9397-08002B2CF9AE}" pid="21" name="_MarkAsFinal">
    <vt:bool>false</vt:bool>
  </property>
</Properties>
</file>